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7DB1" w:rsidRDefault="00407DB1" w:rsidP="00407DB1">
      <w:pPr>
        <w:jc w:val="center"/>
        <w:rPr>
          <w:rFonts w:ascii="Times New Roman" w:hAnsi="Times New Roman"/>
          <w:b/>
          <w:bCs/>
          <w:sz w:val="36"/>
        </w:rPr>
      </w:pPr>
      <w:r>
        <w:rPr>
          <w:rFonts w:ascii="Times New Roman" w:hAnsi="Times New Roman"/>
          <w:b/>
          <w:bCs/>
          <w:sz w:val="28"/>
        </w:rPr>
        <w:t>RL3/2006</w:t>
      </w:r>
    </w:p>
    <w:p w:rsidR="00407DB1" w:rsidRDefault="00407DB1" w:rsidP="00407DB1">
      <w:pPr>
        <w:pStyle w:val="Heading1"/>
        <w:jc w:val="center"/>
        <w:rPr>
          <w:rFonts w:ascii="Times New Roman" w:hAnsi="Times New Roman"/>
          <w:b w:val="0"/>
          <w:bCs w:val="0"/>
        </w:rPr>
      </w:pPr>
      <w:r>
        <w:rPr>
          <w:rFonts w:ascii="Times New Roman" w:hAnsi="Times New Roman"/>
          <w:b w:val="0"/>
          <w:bCs w:val="0"/>
        </w:rPr>
        <w:t>King Lyell Copper Clays Resource Evaluation</w:t>
      </w:r>
    </w:p>
    <w:p w:rsidR="00407DB1" w:rsidRDefault="00407DB1" w:rsidP="00407DB1">
      <w:pPr>
        <w:jc w:val="center"/>
        <w:rPr>
          <w:rFonts w:ascii="Times New Roman" w:hAnsi="Times New Roman"/>
          <w:sz w:val="28"/>
        </w:rPr>
      </w:pPr>
      <w:r>
        <w:rPr>
          <w:rFonts w:ascii="Times New Roman" w:hAnsi="Times New Roman"/>
          <w:b/>
          <w:bCs/>
          <w:sz w:val="28"/>
        </w:rPr>
        <w:t>August 2013</w:t>
      </w:r>
    </w:p>
    <w:p w:rsidR="00407DB1" w:rsidRDefault="00407DB1" w:rsidP="00407DB1">
      <w:pPr>
        <w:jc w:val="center"/>
        <w:rPr>
          <w:rFonts w:ascii="Times New Roman" w:hAnsi="Times New Roman"/>
          <w:sz w:val="28"/>
        </w:rPr>
      </w:pPr>
    </w:p>
    <w:p w:rsidR="00407DB1" w:rsidRDefault="00407DB1" w:rsidP="00407DB1">
      <w:pPr>
        <w:jc w:val="center"/>
        <w:rPr>
          <w:rFonts w:ascii="Times New Roman" w:hAnsi="Times New Roman"/>
          <w:sz w:val="28"/>
        </w:rPr>
      </w:pPr>
    </w:p>
    <w:p w:rsidR="00407DB1" w:rsidRDefault="00407DB1" w:rsidP="00407DB1">
      <w:pPr>
        <w:jc w:val="center"/>
        <w:rPr>
          <w:rFonts w:ascii="Times New Roman" w:hAnsi="Times New Roman"/>
          <w:sz w:val="28"/>
        </w:rPr>
      </w:pPr>
      <w:r>
        <w:rPr>
          <w:rFonts w:ascii="Times New Roman" w:hAnsi="Times New Roman"/>
        </w:rPr>
        <w:object w:dxaOrig="9581" w:dyaOrig="20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1pt;height:88pt" o:ole="">
            <v:imagedata r:id="rId6" o:title=""/>
          </v:shape>
          <o:OLEObject Type="Embed" ProgID="PBrush" ShapeID="_x0000_i1025" DrawAspect="Content" ObjectID="_1537276846" r:id="rId7"/>
        </w:object>
      </w:r>
    </w:p>
    <w:p w:rsidR="00407DB1" w:rsidRDefault="00407DB1" w:rsidP="00407DB1">
      <w:pPr>
        <w:jc w:val="center"/>
        <w:rPr>
          <w:rFonts w:ascii="Times New Roman" w:hAnsi="Times New Roman"/>
          <w:sz w:val="28"/>
        </w:rPr>
      </w:pPr>
    </w:p>
    <w:p w:rsidR="00407DB1" w:rsidRDefault="00407DB1" w:rsidP="00407DB1">
      <w:pPr>
        <w:jc w:val="center"/>
        <w:rPr>
          <w:rFonts w:ascii="Times New Roman" w:hAnsi="Times New Roman"/>
          <w:sz w:val="28"/>
        </w:rPr>
      </w:pPr>
      <w:r>
        <w:rPr>
          <w:rFonts w:ascii="Times New Roman" w:hAnsi="Times New Roman"/>
        </w:rPr>
        <w:object w:dxaOrig="12227" w:dyaOrig="12197">
          <v:shape id="_x0000_i1026" type="#_x0000_t75" style="width:141.85pt;height:141.5pt" o:ole="">
            <v:imagedata r:id="rId8" o:title=""/>
          </v:shape>
          <o:OLEObject Type="Embed" ProgID="PBrush" ShapeID="_x0000_i1026" DrawAspect="Content" ObjectID="_1537276847" r:id="rId9"/>
        </w:object>
      </w:r>
    </w:p>
    <w:p w:rsidR="00407DB1" w:rsidRDefault="00407DB1" w:rsidP="00407DB1">
      <w:pPr>
        <w:jc w:val="center"/>
        <w:rPr>
          <w:rFonts w:ascii="Times New Roman" w:hAnsi="Times New Roman"/>
          <w:sz w:val="28"/>
        </w:rPr>
      </w:pPr>
    </w:p>
    <w:p w:rsidR="00407DB1" w:rsidRDefault="00407DB1" w:rsidP="00407DB1">
      <w:pPr>
        <w:jc w:val="center"/>
        <w:rPr>
          <w:rFonts w:ascii="Times New Roman" w:hAnsi="Times New Roman"/>
          <w:sz w:val="28"/>
        </w:rPr>
      </w:pPr>
    </w:p>
    <w:p w:rsidR="00407DB1" w:rsidRDefault="00407DB1" w:rsidP="00407DB1">
      <w:pPr>
        <w:rPr>
          <w:rFonts w:ascii="Times New Roman" w:hAnsi="Times New Roman"/>
          <w:b/>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b/>
        </w:rPr>
        <w:t>Author:</w:t>
      </w:r>
      <w:r>
        <w:rPr>
          <w:rFonts w:ascii="Times New Roman" w:hAnsi="Times New Roman"/>
          <w:b/>
        </w:rPr>
        <w:tab/>
      </w:r>
      <w:r>
        <w:rPr>
          <w:rFonts w:ascii="Times New Roman" w:hAnsi="Times New Roman"/>
          <w:b/>
        </w:rPr>
        <w:tab/>
        <w:t xml:space="preserve"> Brendan McGee</w:t>
      </w:r>
    </w:p>
    <w:p w:rsidR="00407DB1" w:rsidRDefault="00407DB1" w:rsidP="00407DB1">
      <w:pPr>
        <w:rPr>
          <w:rFonts w:ascii="Times New Roman" w:hAnsi="Times New Roman"/>
          <w:b/>
        </w:rPr>
      </w:pP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r>
      <w:r>
        <w:rPr>
          <w:rFonts w:ascii="Times New Roman" w:hAnsi="Times New Roman"/>
          <w:b/>
        </w:rPr>
        <w:tab/>
        <w:t>(Senior Mine Geologist)</w:t>
      </w:r>
    </w:p>
    <w:p w:rsidR="00407DB1" w:rsidRDefault="00407DB1" w:rsidP="00407DB1">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p>
    <w:p w:rsidR="00407DB1" w:rsidRDefault="00407DB1" w:rsidP="00407DB1">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w:t>
      </w:r>
    </w:p>
    <w:p w:rsidR="00407DB1" w:rsidRDefault="00407DB1" w:rsidP="00407DB1">
      <w:pPr>
        <w:rPr>
          <w:rFonts w:ascii="Times New Roman" w:hAnsi="Times New Roman"/>
          <w:b/>
          <w:bCs/>
        </w:rPr>
      </w:pPr>
    </w:p>
    <w:p w:rsidR="00407DB1" w:rsidRDefault="00407DB1" w:rsidP="00407DB1">
      <w:pPr>
        <w:pStyle w:val="Heading6"/>
        <w:jc w:val="center"/>
        <w:rPr>
          <w:rFonts w:ascii="Times New Roman" w:hAnsi="Times New Roman"/>
        </w:rPr>
      </w:pPr>
      <w:r>
        <w:rPr>
          <w:rFonts w:ascii="Times New Roman" w:hAnsi="Times New Roman"/>
        </w:rPr>
        <w:t xml:space="preserve">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p>
    <w:p w:rsidR="00407DB1" w:rsidRDefault="00407DB1" w:rsidP="00407DB1">
      <w:pPr>
        <w:tabs>
          <w:tab w:val="num" w:pos="720"/>
        </w:tabs>
        <w:spacing w:after="0" w:line="240" w:lineRule="auto"/>
        <w:ind w:left="360"/>
        <w:jc w:val="right"/>
        <w:rPr>
          <w:rFonts w:ascii="Times New Roman" w:hAnsi="Times New Roman"/>
          <w:b/>
          <w:bCs/>
        </w:rPr>
      </w:pPr>
      <w:r>
        <w:rPr>
          <w:rFonts w:ascii="Times New Roman" w:hAnsi="Times New Roman"/>
          <w:b/>
          <w:bCs/>
        </w:rPr>
        <w:t xml:space="preserve">CMT report no: </w:t>
      </w:r>
    </w:p>
    <w:p w:rsidR="00407DB1" w:rsidRDefault="00407DB1" w:rsidP="00407DB1">
      <w:pPr>
        <w:spacing w:after="0" w:line="240" w:lineRule="auto"/>
        <w:rPr>
          <w:rFonts w:ascii="Times New Roman" w:hAnsi="Times New Roman"/>
          <w:b/>
          <w:bCs/>
        </w:rPr>
      </w:pPr>
      <w:r>
        <w:rPr>
          <w:rFonts w:ascii="Times New Roman" w:hAnsi="Times New Roman"/>
          <w:b/>
          <w:bCs/>
        </w:rPr>
        <w:t>Distribution:</w:t>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p>
    <w:p w:rsidR="00407DB1" w:rsidRDefault="00407DB1" w:rsidP="00407DB1">
      <w:pPr>
        <w:spacing w:after="0" w:line="240" w:lineRule="auto"/>
        <w:rPr>
          <w:rFonts w:ascii="Times New Roman" w:hAnsi="Times New Roman"/>
        </w:rPr>
      </w:pPr>
      <w:r>
        <w:rPr>
          <w:rFonts w:ascii="Times New Roman" w:hAnsi="Times New Roman"/>
        </w:rPr>
        <w:t>MRT - Hobart</w:t>
      </w:r>
    </w:p>
    <w:p w:rsidR="00407DB1" w:rsidRDefault="00407DB1" w:rsidP="00407DB1">
      <w:pPr>
        <w:spacing w:after="0" w:line="240" w:lineRule="auto"/>
        <w:rPr>
          <w:rFonts w:ascii="Times New Roman" w:hAnsi="Times New Roman"/>
        </w:rPr>
      </w:pPr>
      <w:r>
        <w:rPr>
          <w:rFonts w:ascii="Times New Roman" w:hAnsi="Times New Roman"/>
        </w:rPr>
        <w:t>CMT – Queenstown</w:t>
      </w:r>
    </w:p>
    <w:p w:rsidR="00407DB1" w:rsidRDefault="00407DB1" w:rsidP="00407DB1">
      <w:pPr>
        <w:spacing w:after="0" w:line="240" w:lineRule="auto"/>
        <w:rPr>
          <w:rFonts w:ascii="Times New Roman" w:hAnsi="Times New Roman"/>
        </w:rPr>
      </w:pPr>
    </w:p>
    <w:p w:rsidR="00407DB1" w:rsidRDefault="00407DB1" w:rsidP="00407DB1">
      <w:pPr>
        <w:pStyle w:val="Heading1"/>
      </w:pPr>
      <w:r>
        <w:lastRenderedPageBreak/>
        <w:t>Introduction</w:t>
      </w:r>
    </w:p>
    <w:p w:rsidR="00407DB1" w:rsidRDefault="00407DB1" w:rsidP="00407DB1">
      <w:r>
        <w:t>RL 3/2006 is a 2km</w:t>
      </w:r>
      <w:r w:rsidRPr="00F56F4C">
        <w:rPr>
          <w:vertAlign w:val="superscript"/>
        </w:rPr>
        <w:t>2</w:t>
      </w:r>
      <w:r>
        <w:t xml:space="preserve"> retention licence held by Copper Mines of Tasmania on the eastern boundary of mining lease 1M/95. The retention licence covers three known copper bearing mineralised deposits including the Lyell Consols, Lyell Blocks and King Lyell deposits. RL3/2006 is located within the land district of Montagu and in the vicinity of Linda (Figure 1). </w:t>
      </w:r>
    </w:p>
    <w:p w:rsidR="00B1211E" w:rsidRDefault="000B6889" w:rsidP="00407DB1">
      <w:r>
        <w:rPr>
          <w:noProof/>
          <w:lang w:eastAsia="en-AU"/>
        </w:rPr>
        <w:drawing>
          <wp:anchor distT="0" distB="0" distL="114300" distR="114300" simplePos="0" relativeHeight="251659264" behindDoc="0" locked="0" layoutInCell="1" allowOverlap="1" wp14:anchorId="223B3034" wp14:editId="53B4F3E9">
            <wp:simplePos x="0" y="0"/>
            <wp:positionH relativeFrom="column">
              <wp:posOffset>819150</wp:posOffset>
            </wp:positionH>
            <wp:positionV relativeFrom="paragraph">
              <wp:posOffset>467995</wp:posOffset>
            </wp:positionV>
            <wp:extent cx="4200525" cy="4695825"/>
            <wp:effectExtent l="19050" t="19050" r="28575" b="28575"/>
            <wp:wrapTopAndBottom/>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srcRect t="1" r="1236" b="1003"/>
                    <a:stretch/>
                  </pic:blipFill>
                  <pic:spPr bwMode="auto">
                    <a:xfrm>
                      <a:off x="0" y="0"/>
                      <a:ext cx="4200525" cy="4695825"/>
                    </a:xfrm>
                    <a:prstGeom prst="rect">
                      <a:avLst/>
                    </a:prstGeom>
                    <a:noFill/>
                    <a:ln w="9525" cap="flat" cmpd="sng" algn="ctr">
                      <a:solidFill>
                        <a:sysClr val="windowText" lastClr="000000"/>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n-AU"/>
        </w:rPr>
        <mc:AlternateContent>
          <mc:Choice Requires="wps">
            <w:drawing>
              <wp:anchor distT="0" distB="0" distL="114300" distR="114300" simplePos="0" relativeHeight="251661312" behindDoc="0" locked="0" layoutInCell="1" allowOverlap="1" wp14:anchorId="278F40FF" wp14:editId="3DBD4CE1">
                <wp:simplePos x="0" y="0"/>
                <wp:positionH relativeFrom="column">
                  <wp:posOffset>819150</wp:posOffset>
                </wp:positionH>
                <wp:positionV relativeFrom="paragraph">
                  <wp:posOffset>5292725</wp:posOffset>
                </wp:positionV>
                <wp:extent cx="4606925" cy="635"/>
                <wp:effectExtent l="0" t="0" r="3175" b="0"/>
                <wp:wrapNone/>
                <wp:docPr id="1" name="Text Box 1"/>
                <wp:cNvGraphicFramePr/>
                <a:graphic xmlns:a="http://schemas.openxmlformats.org/drawingml/2006/main">
                  <a:graphicData uri="http://schemas.microsoft.com/office/word/2010/wordprocessingShape">
                    <wps:wsp>
                      <wps:cNvSpPr txBox="1"/>
                      <wps:spPr>
                        <a:xfrm>
                          <a:off x="0" y="0"/>
                          <a:ext cx="4606925" cy="635"/>
                        </a:xfrm>
                        <a:prstGeom prst="rect">
                          <a:avLst/>
                        </a:prstGeom>
                        <a:solidFill>
                          <a:prstClr val="white"/>
                        </a:solidFill>
                        <a:ln>
                          <a:noFill/>
                        </a:ln>
                        <a:effectLst/>
                      </wps:spPr>
                      <wps:txbx>
                        <w:txbxContent>
                          <w:p w:rsidR="00585919" w:rsidRDefault="00585919" w:rsidP="00B1211E">
                            <w:pPr>
                              <w:pStyle w:val="Caption"/>
                              <w:rPr>
                                <w:noProof/>
                              </w:rPr>
                            </w:pPr>
                            <w:r>
                              <w:t xml:space="preserve">Figure </w:t>
                            </w:r>
                            <w:r w:rsidR="00EE6194">
                              <w:fldChar w:fldCharType="begin"/>
                            </w:r>
                            <w:r w:rsidR="00EE6194">
                              <w:instrText xml:space="preserve"> SEQ Figure \* ARABIC </w:instrText>
                            </w:r>
                            <w:r w:rsidR="00EE6194">
                              <w:fldChar w:fldCharType="separate"/>
                            </w:r>
                            <w:r>
                              <w:rPr>
                                <w:noProof/>
                              </w:rPr>
                              <w:t>1</w:t>
                            </w:r>
                            <w:r w:rsidR="00EE6194">
                              <w:rPr>
                                <w:noProof/>
                              </w:rPr>
                              <w:fldChar w:fldCharType="end"/>
                            </w:r>
                            <w:r>
                              <w:t>. Location of RL3/2006.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64.5pt;margin-top:416.75pt;width:362.7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xfHMAIAAGsEAAAOAAAAZHJzL2Uyb0RvYy54bWysVMFu2zAMvQ/YPwi6L06yNdiMOEWWIsOA&#10;oi2QDD0rshwLkEWNUmJnXz9KttOt22nYRaFImtR7j8zytmsMOyv0GmzBZ5MpZ8pKKLU9Fvzbfvvu&#10;I2c+CFsKA1YV/KI8v129fbNsXa7mUIMpFTIqYn3euoLXIbg8y7ysVSP8BJyyFKwAGxHoisesRNFS&#10;9cZk8+l0kbWApUOQynvy3vVBvkr1q0rJ8FhVXgVmCk5vC+nEdB7ima2WIj+icLWWwzPEP7yiEdpS&#10;02upOxEEO6H+o1SjJYKHKkwkNBlUlZYqYSA0s+krNLtaOJWwEDneXWny/6+sfDg/IdMlaceZFQ1J&#10;tFddYJ+hY7PITut8Tkk7R2mhI3fMHPyenBF0V2ETfwkOozjxfLlyG4tJcn5YTBef5jecSYot3t/E&#10;GtnLpw59+KKgYdEoOJJwiU9xvvehTx1TYicPRpdbbUy8xMDGIDsLErmtdVBD8d+yjI25FuJXfcHe&#10;o9KUDF0i2h5VtEJ36AaoBygvxABCP0Heya2mtvfChyeBNDIEmtYgPNJRGWgLDoPFWQ3442/+mE9K&#10;UpSzlkaw4P77SaDizHy1pHGc19HA0TiMhj01GyDApBu9Jpn0AQYzmhVC80zbsY5dKCSspF4FD6O5&#10;Cf0i0HZJtV6nJJpKJ8K93TkZS4/07rtngW4QJ5CmDzAOp8hfadTnJpXc+hSI8CRgJLRnkYSPF5ro&#10;NALD9sWV+fWesl7+I1Y/AQAA//8DAFBLAwQUAAYACAAAACEAQQ2cweEAAAALAQAADwAAAGRycy9k&#10;b3ducmV2LnhtbEyPMU/DMBCFdyT+g3VILIg6NGkUQpyqqmCApSJ0YXNjNw7E58h22vDvOVhgu3f3&#10;9O571Xq2AztpH3qHAu4WCTCNrVM9dgL2b0+3BbAQJSo5ONQCvnSAdX15UclSuTO+6lMTO0YhGEop&#10;wMQ4lpyH1mgrw8KNGul2dN7KSNJ3XHl5pnA78GWS5NzKHumDkaPeGt1+NpMVsMved+ZmOj6+bLLU&#10;P++nbf7RNUJcX82bB2BRz/HPDD/4hA41MR3chCqwgfTynrpEAUWaroCRo1hlNBx+NznwuuL/O9Tf&#10;AAAA//8DAFBLAQItABQABgAIAAAAIQC2gziS/gAAAOEBAAATAAAAAAAAAAAAAAAAAAAAAABbQ29u&#10;dGVudF9UeXBlc10ueG1sUEsBAi0AFAAGAAgAAAAhADj9If/WAAAAlAEAAAsAAAAAAAAAAAAAAAAA&#10;LwEAAF9yZWxzLy5yZWxzUEsBAi0AFAAGAAgAAAAhAE/PF8cwAgAAawQAAA4AAAAAAAAAAAAAAAAA&#10;LgIAAGRycy9lMm9Eb2MueG1sUEsBAi0AFAAGAAgAAAAhAEENnMHhAAAACwEAAA8AAAAAAAAAAAAA&#10;AAAAigQAAGRycy9kb3ducmV2LnhtbFBLBQYAAAAABAAEAPMAAACYBQAAAAA=&#10;" stroked="f">
                <v:textbox style="mso-fit-shape-to-text:t" inset="0,0,0,0">
                  <w:txbxContent>
                    <w:p w:rsidR="00585919" w:rsidRDefault="00585919" w:rsidP="00B1211E">
                      <w:pPr>
                        <w:pStyle w:val="Caption"/>
                        <w:rPr>
                          <w:noProof/>
                        </w:rPr>
                      </w:pPr>
                      <w:r>
                        <w:t xml:space="preserve">Figure </w:t>
                      </w:r>
                      <w:fldSimple w:instr=" SEQ Figure \* ARABIC ">
                        <w:r>
                          <w:rPr>
                            <w:noProof/>
                          </w:rPr>
                          <w:t>1</w:t>
                        </w:r>
                      </w:fldSimple>
                      <w:r>
                        <w:t>. Location of RL3/2006.</w:t>
                      </w:r>
                    </w:p>
                  </w:txbxContent>
                </v:textbox>
              </v:shape>
            </w:pict>
          </mc:Fallback>
        </mc:AlternateContent>
      </w:r>
      <w:r w:rsidR="00B1211E">
        <w:t>The King Lyell deposit has been assessed as the only deposit of potential tonnage to be considered for future mining (AMC, 2008).</w:t>
      </w:r>
      <w:r w:rsidR="00B1211E">
        <w:br/>
      </w:r>
    </w:p>
    <w:p w:rsidR="00407DB1" w:rsidRDefault="00B1211E" w:rsidP="00B1211E">
      <w:pPr>
        <w:pStyle w:val="Heading2"/>
      </w:pPr>
      <w:r>
        <w:t>Geology</w:t>
      </w:r>
    </w:p>
    <w:p w:rsidR="00EC5A8F" w:rsidRDefault="00407DB1" w:rsidP="00407DB1">
      <w:pPr>
        <w:sectPr w:rsidR="00EC5A8F">
          <w:pgSz w:w="11906" w:h="16838"/>
          <w:pgMar w:top="1440" w:right="1440" w:bottom="1440" w:left="1440" w:header="708" w:footer="708" w:gutter="0"/>
          <w:cols w:space="708"/>
          <w:docGrid w:linePitch="360"/>
        </w:sectPr>
      </w:pPr>
      <w:r>
        <w:t xml:space="preserve">The </w:t>
      </w:r>
      <w:r w:rsidR="00B1211E">
        <w:t>King Lyell deposit is</w:t>
      </w:r>
      <w:r>
        <w:t xml:space="preserve"> located within highly deformed and weathered limonitic clays and iron hydroxides derived from Gordon Group Limestone and shales. The deposit</w:t>
      </w:r>
      <w:r w:rsidR="00B1211E">
        <w:t xml:space="preserve"> is located within a </w:t>
      </w:r>
      <w:r>
        <w:t>Devonian</w:t>
      </w:r>
      <w:r w:rsidR="00B1211E">
        <w:t xml:space="preserve"> aged syncline and underlain by</w:t>
      </w:r>
      <w:r>
        <w:t xml:space="preserve"> the Pioneer sandstone which unco</w:t>
      </w:r>
      <w:r w:rsidR="00A83B29">
        <w:t>n</w:t>
      </w:r>
      <w:r>
        <w:t>for</w:t>
      </w:r>
      <w:r w:rsidR="00A83B29">
        <w:t>m</w:t>
      </w:r>
      <w:r>
        <w:t>ably overlies the Late Cambrian early Ordovician Owen Conglomerate (Godsall,</w:t>
      </w:r>
      <w:r w:rsidR="00B1211E">
        <w:t xml:space="preserve"> </w:t>
      </w:r>
      <w:r>
        <w:t>2005)</w:t>
      </w:r>
      <w:r w:rsidR="00B1211E">
        <w:t>.</w:t>
      </w:r>
      <w:r w:rsidR="00EC5A8F">
        <w:t xml:space="preserve">  The deposit is overlain with up to 60m of glacial, periglacial and anthropogenic material in the east (Figure 2).  The cover shallows towards the west where the host rock crops out.</w:t>
      </w:r>
    </w:p>
    <w:p w:rsidR="00EC5A8F" w:rsidRDefault="00EC5A8F" w:rsidP="009A5BF8">
      <w:pPr>
        <w:keepNext/>
        <w:spacing w:after="0"/>
      </w:pPr>
      <w:r>
        <w:rPr>
          <w:noProof/>
          <w:lang w:eastAsia="en-AU"/>
        </w:rPr>
        <w:lastRenderedPageBreak/>
        <w:drawing>
          <wp:inline distT="0" distB="0" distL="0" distR="0" wp14:anchorId="048DCF05" wp14:editId="4F4B9BA7">
            <wp:extent cx="7283395" cy="549221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nglyellclays.png"/>
                    <pic:cNvPicPr/>
                  </pic:nvPicPr>
                  <pic:blipFill rotWithShape="1">
                    <a:blip r:embed="rId11" cstate="print">
                      <a:extLst>
                        <a:ext uri="{28A0092B-C50C-407E-A947-70E740481C1C}">
                          <a14:useLocalDpi xmlns:a14="http://schemas.microsoft.com/office/drawing/2010/main" val="0"/>
                        </a:ext>
                      </a:extLst>
                    </a:blip>
                    <a:srcRect l="4466" t="6316" r="16216" b="9081"/>
                    <a:stretch/>
                  </pic:blipFill>
                  <pic:spPr bwMode="auto">
                    <a:xfrm>
                      <a:off x="0" y="0"/>
                      <a:ext cx="7287177" cy="5495071"/>
                    </a:xfrm>
                    <a:prstGeom prst="rect">
                      <a:avLst/>
                    </a:prstGeom>
                    <a:ln>
                      <a:noFill/>
                    </a:ln>
                    <a:extLst>
                      <a:ext uri="{53640926-AAD7-44D8-BBD7-CCE9431645EC}">
                        <a14:shadowObscured xmlns:a14="http://schemas.microsoft.com/office/drawing/2010/main"/>
                      </a:ext>
                    </a:extLst>
                  </pic:spPr>
                </pic:pic>
              </a:graphicData>
            </a:graphic>
          </wp:inline>
        </w:drawing>
      </w:r>
    </w:p>
    <w:p w:rsidR="000B6889" w:rsidRPr="000B6889" w:rsidRDefault="00EC5A8F" w:rsidP="000B6889">
      <w:pPr>
        <w:pStyle w:val="Caption"/>
        <w:sectPr w:rsidR="000B6889" w:rsidRPr="000B6889" w:rsidSect="00EC5A8F">
          <w:pgSz w:w="16838" w:h="11906" w:orient="landscape"/>
          <w:pgMar w:top="1440" w:right="1440" w:bottom="1440" w:left="1440" w:header="709" w:footer="709" w:gutter="0"/>
          <w:cols w:space="708"/>
          <w:docGrid w:linePitch="360"/>
        </w:sectPr>
      </w:pPr>
      <w:r>
        <w:t xml:space="preserve">Figure </w:t>
      </w:r>
      <w:r w:rsidR="00EE6194">
        <w:fldChar w:fldCharType="begin"/>
      </w:r>
      <w:r w:rsidR="00EE6194">
        <w:instrText xml:space="preserve"> SEQ Figure \* ARABIC </w:instrText>
      </w:r>
      <w:r w:rsidR="00EE6194">
        <w:fldChar w:fldCharType="separate"/>
      </w:r>
      <w:r w:rsidR="00585919">
        <w:rPr>
          <w:noProof/>
        </w:rPr>
        <w:t>2</w:t>
      </w:r>
      <w:r w:rsidR="00EE6194">
        <w:rPr>
          <w:noProof/>
        </w:rPr>
        <w:fldChar w:fldCharType="end"/>
      </w:r>
      <w:r>
        <w:t>. Surface geology map of the King Lyell area (</w:t>
      </w:r>
      <w:r w:rsidRPr="00EC5A8F">
        <w:rPr>
          <w:color w:val="FF0000"/>
        </w:rPr>
        <w:t>AJS</w:t>
      </w:r>
      <w:r>
        <w:t xml:space="preserve"> and Ken Morrison)</w:t>
      </w:r>
    </w:p>
    <w:p w:rsidR="000B6889" w:rsidRDefault="000B6889" w:rsidP="000B6889">
      <w:pPr>
        <w:pStyle w:val="Heading2"/>
        <w:spacing w:before="0" w:line="240" w:lineRule="auto"/>
      </w:pPr>
      <w:r>
        <w:lastRenderedPageBreak/>
        <w:t>Drilling data used in resource evaluation</w:t>
      </w:r>
    </w:p>
    <w:p w:rsidR="000B6889" w:rsidRDefault="007B5451" w:rsidP="000B6889">
      <w:r>
        <w:t>Drilling data selected was from three programmes, the 1996 (three RC holes), 2005 (six diamond holes) and 2011 (11 combination rotary mud pre-collars with diamond tails)</w:t>
      </w:r>
      <w:r w:rsidR="00C06A1F">
        <w:t xml:space="preserve"> </w:t>
      </w:r>
      <w:r>
        <w:t>(Table 1).  All data previous to these programmes has been not considered due to poor recoveries or unreliable surveys.</w:t>
      </w:r>
    </w:p>
    <w:tbl>
      <w:tblPr>
        <w:tblStyle w:val="TableGrid"/>
        <w:tblW w:w="0" w:type="auto"/>
        <w:tblLook w:val="04A0" w:firstRow="1" w:lastRow="0" w:firstColumn="1" w:lastColumn="0" w:noHBand="0" w:noVBand="1"/>
      </w:tblPr>
      <w:tblGrid>
        <w:gridCol w:w="2310"/>
        <w:gridCol w:w="1342"/>
        <w:gridCol w:w="4536"/>
        <w:gridCol w:w="1054"/>
      </w:tblGrid>
      <w:tr w:rsidR="007B5451" w:rsidTr="00362C7C">
        <w:tc>
          <w:tcPr>
            <w:tcW w:w="2310" w:type="dxa"/>
          </w:tcPr>
          <w:p w:rsidR="007B5451" w:rsidRPr="00362C7C" w:rsidRDefault="007B5451" w:rsidP="00362C7C">
            <w:pPr>
              <w:rPr>
                <w:b/>
              </w:rPr>
            </w:pPr>
            <w:r w:rsidRPr="00362C7C">
              <w:rPr>
                <w:b/>
              </w:rPr>
              <w:t>Hole ID</w:t>
            </w:r>
          </w:p>
        </w:tc>
        <w:tc>
          <w:tcPr>
            <w:tcW w:w="1342" w:type="dxa"/>
          </w:tcPr>
          <w:p w:rsidR="007B5451" w:rsidRPr="00362C7C" w:rsidRDefault="007B5451" w:rsidP="00362C7C">
            <w:pPr>
              <w:rPr>
                <w:b/>
              </w:rPr>
            </w:pPr>
            <w:r w:rsidRPr="00362C7C">
              <w:rPr>
                <w:b/>
              </w:rPr>
              <w:t>EOH Depth</w:t>
            </w:r>
          </w:p>
        </w:tc>
        <w:tc>
          <w:tcPr>
            <w:tcW w:w="4536" w:type="dxa"/>
          </w:tcPr>
          <w:p w:rsidR="007B5451" w:rsidRPr="00362C7C" w:rsidRDefault="007B5451" w:rsidP="00362C7C">
            <w:pPr>
              <w:rPr>
                <w:b/>
              </w:rPr>
            </w:pPr>
            <w:r w:rsidRPr="00362C7C">
              <w:rPr>
                <w:b/>
              </w:rPr>
              <w:t>Method</w:t>
            </w:r>
          </w:p>
        </w:tc>
        <w:tc>
          <w:tcPr>
            <w:tcW w:w="1054" w:type="dxa"/>
          </w:tcPr>
          <w:p w:rsidR="007B5451" w:rsidRPr="00362C7C" w:rsidRDefault="007B5451" w:rsidP="00362C7C">
            <w:pPr>
              <w:rPr>
                <w:b/>
              </w:rPr>
            </w:pPr>
            <w:r w:rsidRPr="00362C7C">
              <w:rPr>
                <w:b/>
              </w:rPr>
              <w:t>Year</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96KLC0001</w:t>
            </w:r>
          </w:p>
        </w:tc>
        <w:tc>
          <w:tcPr>
            <w:tcW w:w="1342" w:type="dxa"/>
            <w:vAlign w:val="bottom"/>
          </w:tcPr>
          <w:p w:rsidR="00362C7C" w:rsidRDefault="00362C7C">
            <w:pPr>
              <w:jc w:val="right"/>
              <w:rPr>
                <w:rFonts w:ascii="Calibri" w:hAnsi="Calibri"/>
                <w:color w:val="000000"/>
              </w:rPr>
            </w:pPr>
            <w:r>
              <w:rPr>
                <w:rFonts w:ascii="Calibri" w:hAnsi="Calibri"/>
                <w:color w:val="000000"/>
              </w:rPr>
              <w:t>70</w:t>
            </w:r>
          </w:p>
        </w:tc>
        <w:tc>
          <w:tcPr>
            <w:tcW w:w="4536" w:type="dxa"/>
          </w:tcPr>
          <w:p w:rsidR="00362C7C" w:rsidRDefault="00362C7C" w:rsidP="000B6889">
            <w:r>
              <w:t>Reverse circulation</w:t>
            </w:r>
          </w:p>
        </w:tc>
        <w:tc>
          <w:tcPr>
            <w:tcW w:w="1054" w:type="dxa"/>
          </w:tcPr>
          <w:p w:rsidR="00362C7C" w:rsidRDefault="00362C7C" w:rsidP="000B6889">
            <w:r>
              <w:t>1996</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96KLC0002</w:t>
            </w:r>
          </w:p>
        </w:tc>
        <w:tc>
          <w:tcPr>
            <w:tcW w:w="1342" w:type="dxa"/>
            <w:vAlign w:val="bottom"/>
          </w:tcPr>
          <w:p w:rsidR="00362C7C" w:rsidRDefault="00362C7C">
            <w:pPr>
              <w:jc w:val="right"/>
              <w:rPr>
                <w:rFonts w:ascii="Calibri" w:hAnsi="Calibri"/>
                <w:color w:val="000000"/>
              </w:rPr>
            </w:pPr>
            <w:r>
              <w:rPr>
                <w:rFonts w:ascii="Calibri" w:hAnsi="Calibri"/>
                <w:color w:val="000000"/>
              </w:rPr>
              <w:t>67</w:t>
            </w:r>
          </w:p>
        </w:tc>
        <w:tc>
          <w:tcPr>
            <w:tcW w:w="4536" w:type="dxa"/>
          </w:tcPr>
          <w:p w:rsidR="00362C7C" w:rsidRDefault="00362C7C" w:rsidP="000B6889">
            <w:r>
              <w:t>Reverse circulation</w:t>
            </w:r>
          </w:p>
        </w:tc>
        <w:tc>
          <w:tcPr>
            <w:tcW w:w="1054" w:type="dxa"/>
          </w:tcPr>
          <w:p w:rsidR="00362C7C" w:rsidRDefault="00362C7C" w:rsidP="000B6889">
            <w:r>
              <w:t>1996</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96KLC0003</w:t>
            </w:r>
          </w:p>
        </w:tc>
        <w:tc>
          <w:tcPr>
            <w:tcW w:w="1342" w:type="dxa"/>
            <w:vAlign w:val="bottom"/>
          </w:tcPr>
          <w:p w:rsidR="00362C7C" w:rsidRDefault="00362C7C">
            <w:pPr>
              <w:jc w:val="right"/>
              <w:rPr>
                <w:rFonts w:ascii="Calibri" w:hAnsi="Calibri"/>
                <w:color w:val="000000"/>
              </w:rPr>
            </w:pPr>
            <w:r>
              <w:rPr>
                <w:rFonts w:ascii="Calibri" w:hAnsi="Calibri"/>
                <w:color w:val="000000"/>
              </w:rPr>
              <w:t>60</w:t>
            </w:r>
          </w:p>
        </w:tc>
        <w:tc>
          <w:tcPr>
            <w:tcW w:w="4536" w:type="dxa"/>
          </w:tcPr>
          <w:p w:rsidR="00362C7C" w:rsidRDefault="00362C7C" w:rsidP="000B6889">
            <w:r>
              <w:t>Reverse circulation</w:t>
            </w:r>
          </w:p>
        </w:tc>
        <w:tc>
          <w:tcPr>
            <w:tcW w:w="1054" w:type="dxa"/>
          </w:tcPr>
          <w:p w:rsidR="00362C7C" w:rsidRDefault="00362C7C" w:rsidP="000B6889">
            <w:r>
              <w:t>1996</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05KLD001</w:t>
            </w:r>
          </w:p>
        </w:tc>
        <w:tc>
          <w:tcPr>
            <w:tcW w:w="1342" w:type="dxa"/>
            <w:vAlign w:val="bottom"/>
          </w:tcPr>
          <w:p w:rsidR="00362C7C" w:rsidRDefault="00362C7C">
            <w:pPr>
              <w:jc w:val="right"/>
              <w:rPr>
                <w:rFonts w:ascii="Calibri" w:hAnsi="Calibri"/>
                <w:color w:val="000000"/>
              </w:rPr>
            </w:pPr>
            <w:r>
              <w:rPr>
                <w:rFonts w:ascii="Calibri" w:hAnsi="Calibri"/>
                <w:color w:val="000000"/>
              </w:rPr>
              <w:t>32.2</w:t>
            </w:r>
          </w:p>
        </w:tc>
        <w:tc>
          <w:tcPr>
            <w:tcW w:w="4536" w:type="dxa"/>
          </w:tcPr>
          <w:p w:rsidR="00362C7C" w:rsidRDefault="00362C7C" w:rsidP="00362C7C">
            <w:r>
              <w:t>Diamond (HQ3)</w:t>
            </w:r>
          </w:p>
        </w:tc>
        <w:tc>
          <w:tcPr>
            <w:tcW w:w="1054" w:type="dxa"/>
          </w:tcPr>
          <w:p w:rsidR="00362C7C" w:rsidRDefault="00362C7C" w:rsidP="000B6889">
            <w:r>
              <w:t>2005</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05KLD002</w:t>
            </w:r>
          </w:p>
        </w:tc>
        <w:tc>
          <w:tcPr>
            <w:tcW w:w="1342" w:type="dxa"/>
            <w:vAlign w:val="bottom"/>
          </w:tcPr>
          <w:p w:rsidR="00362C7C" w:rsidRDefault="00362C7C">
            <w:pPr>
              <w:jc w:val="right"/>
              <w:rPr>
                <w:rFonts w:ascii="Calibri" w:hAnsi="Calibri"/>
                <w:color w:val="000000"/>
              </w:rPr>
            </w:pPr>
            <w:r>
              <w:rPr>
                <w:rFonts w:ascii="Calibri" w:hAnsi="Calibri"/>
                <w:color w:val="000000"/>
              </w:rPr>
              <w:t>72.2</w:t>
            </w:r>
          </w:p>
        </w:tc>
        <w:tc>
          <w:tcPr>
            <w:tcW w:w="4536" w:type="dxa"/>
          </w:tcPr>
          <w:p w:rsidR="00362C7C" w:rsidRDefault="00362C7C" w:rsidP="000B6889">
            <w:r>
              <w:t>Diamond (HQ3)</w:t>
            </w:r>
          </w:p>
        </w:tc>
        <w:tc>
          <w:tcPr>
            <w:tcW w:w="1054" w:type="dxa"/>
          </w:tcPr>
          <w:p w:rsidR="00362C7C" w:rsidRDefault="00362C7C" w:rsidP="000B6889">
            <w:r>
              <w:t>2005</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05KLD003</w:t>
            </w:r>
          </w:p>
        </w:tc>
        <w:tc>
          <w:tcPr>
            <w:tcW w:w="1342" w:type="dxa"/>
            <w:vAlign w:val="bottom"/>
          </w:tcPr>
          <w:p w:rsidR="00362C7C" w:rsidRDefault="00362C7C">
            <w:pPr>
              <w:jc w:val="right"/>
              <w:rPr>
                <w:rFonts w:ascii="Calibri" w:hAnsi="Calibri"/>
                <w:color w:val="000000"/>
              </w:rPr>
            </w:pPr>
            <w:r>
              <w:rPr>
                <w:rFonts w:ascii="Calibri" w:hAnsi="Calibri"/>
                <w:color w:val="000000"/>
              </w:rPr>
              <w:t>42.4</w:t>
            </w:r>
          </w:p>
        </w:tc>
        <w:tc>
          <w:tcPr>
            <w:tcW w:w="4536" w:type="dxa"/>
          </w:tcPr>
          <w:p w:rsidR="00362C7C" w:rsidRDefault="00362C7C" w:rsidP="000B6889">
            <w:r>
              <w:t>Diamond (HQ3)</w:t>
            </w:r>
          </w:p>
        </w:tc>
        <w:tc>
          <w:tcPr>
            <w:tcW w:w="1054" w:type="dxa"/>
          </w:tcPr>
          <w:p w:rsidR="00362C7C" w:rsidRDefault="00362C7C" w:rsidP="000B6889">
            <w:r>
              <w:t>2005</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05KLD004</w:t>
            </w:r>
          </w:p>
        </w:tc>
        <w:tc>
          <w:tcPr>
            <w:tcW w:w="1342" w:type="dxa"/>
            <w:vAlign w:val="bottom"/>
          </w:tcPr>
          <w:p w:rsidR="00362C7C" w:rsidRDefault="00362C7C">
            <w:pPr>
              <w:jc w:val="right"/>
              <w:rPr>
                <w:rFonts w:ascii="Calibri" w:hAnsi="Calibri"/>
                <w:color w:val="000000"/>
              </w:rPr>
            </w:pPr>
            <w:r>
              <w:rPr>
                <w:rFonts w:ascii="Calibri" w:hAnsi="Calibri"/>
                <w:color w:val="000000"/>
              </w:rPr>
              <w:t>48.8</w:t>
            </w:r>
          </w:p>
        </w:tc>
        <w:tc>
          <w:tcPr>
            <w:tcW w:w="4536" w:type="dxa"/>
          </w:tcPr>
          <w:p w:rsidR="00362C7C" w:rsidRDefault="00362C7C" w:rsidP="000B6889">
            <w:r>
              <w:t>Diamond (HQ3)</w:t>
            </w:r>
          </w:p>
        </w:tc>
        <w:tc>
          <w:tcPr>
            <w:tcW w:w="1054" w:type="dxa"/>
          </w:tcPr>
          <w:p w:rsidR="00362C7C" w:rsidRDefault="00362C7C" w:rsidP="000B6889">
            <w:r>
              <w:t>2005</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05KLD005</w:t>
            </w:r>
          </w:p>
        </w:tc>
        <w:tc>
          <w:tcPr>
            <w:tcW w:w="1342" w:type="dxa"/>
            <w:vAlign w:val="bottom"/>
          </w:tcPr>
          <w:p w:rsidR="00362C7C" w:rsidRDefault="00362C7C">
            <w:pPr>
              <w:jc w:val="right"/>
              <w:rPr>
                <w:rFonts w:ascii="Calibri" w:hAnsi="Calibri"/>
                <w:color w:val="000000"/>
              </w:rPr>
            </w:pPr>
            <w:r>
              <w:rPr>
                <w:rFonts w:ascii="Calibri" w:hAnsi="Calibri"/>
                <w:color w:val="000000"/>
              </w:rPr>
              <w:t>46.6</w:t>
            </w:r>
          </w:p>
        </w:tc>
        <w:tc>
          <w:tcPr>
            <w:tcW w:w="4536" w:type="dxa"/>
          </w:tcPr>
          <w:p w:rsidR="00362C7C" w:rsidRDefault="00362C7C" w:rsidP="000B6889">
            <w:r>
              <w:t>Diamond (HQ3)</w:t>
            </w:r>
          </w:p>
        </w:tc>
        <w:tc>
          <w:tcPr>
            <w:tcW w:w="1054" w:type="dxa"/>
          </w:tcPr>
          <w:p w:rsidR="00362C7C" w:rsidRDefault="00362C7C" w:rsidP="000B6889">
            <w:r>
              <w:t>2005</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05KLD006</w:t>
            </w:r>
          </w:p>
        </w:tc>
        <w:tc>
          <w:tcPr>
            <w:tcW w:w="1342" w:type="dxa"/>
            <w:vAlign w:val="bottom"/>
          </w:tcPr>
          <w:p w:rsidR="00362C7C" w:rsidRDefault="00362C7C">
            <w:pPr>
              <w:jc w:val="right"/>
              <w:rPr>
                <w:rFonts w:ascii="Calibri" w:hAnsi="Calibri"/>
                <w:color w:val="000000"/>
              </w:rPr>
            </w:pPr>
            <w:r>
              <w:rPr>
                <w:rFonts w:ascii="Calibri" w:hAnsi="Calibri"/>
                <w:color w:val="000000"/>
              </w:rPr>
              <w:t>93.7</w:t>
            </w:r>
          </w:p>
        </w:tc>
        <w:tc>
          <w:tcPr>
            <w:tcW w:w="4536" w:type="dxa"/>
          </w:tcPr>
          <w:p w:rsidR="00362C7C" w:rsidRDefault="00362C7C" w:rsidP="000B6889">
            <w:r>
              <w:t>Diamond (HQ3)</w:t>
            </w:r>
          </w:p>
        </w:tc>
        <w:tc>
          <w:tcPr>
            <w:tcW w:w="1054" w:type="dxa"/>
          </w:tcPr>
          <w:p w:rsidR="00362C7C" w:rsidRDefault="00362C7C" w:rsidP="000B6889">
            <w:r>
              <w:t>2005</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DD11CMT007</w:t>
            </w:r>
          </w:p>
        </w:tc>
        <w:tc>
          <w:tcPr>
            <w:tcW w:w="1342" w:type="dxa"/>
            <w:vAlign w:val="bottom"/>
          </w:tcPr>
          <w:p w:rsidR="00362C7C" w:rsidRDefault="00362C7C">
            <w:pPr>
              <w:jc w:val="right"/>
              <w:rPr>
                <w:rFonts w:ascii="Calibri" w:hAnsi="Calibri"/>
                <w:color w:val="000000"/>
              </w:rPr>
            </w:pPr>
            <w:r>
              <w:rPr>
                <w:rFonts w:ascii="Calibri" w:hAnsi="Calibri"/>
                <w:color w:val="000000"/>
              </w:rPr>
              <w:t>90</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DD11CMT008</w:t>
            </w:r>
          </w:p>
        </w:tc>
        <w:tc>
          <w:tcPr>
            <w:tcW w:w="1342" w:type="dxa"/>
            <w:vAlign w:val="bottom"/>
          </w:tcPr>
          <w:p w:rsidR="00362C7C" w:rsidRDefault="00362C7C">
            <w:pPr>
              <w:jc w:val="right"/>
              <w:rPr>
                <w:rFonts w:ascii="Calibri" w:hAnsi="Calibri"/>
                <w:color w:val="000000"/>
              </w:rPr>
            </w:pPr>
            <w:r>
              <w:rPr>
                <w:rFonts w:ascii="Calibri" w:hAnsi="Calibri"/>
                <w:color w:val="000000"/>
              </w:rPr>
              <w:t>99.7</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DD11CMT009</w:t>
            </w:r>
          </w:p>
        </w:tc>
        <w:tc>
          <w:tcPr>
            <w:tcW w:w="1342" w:type="dxa"/>
            <w:vAlign w:val="bottom"/>
          </w:tcPr>
          <w:p w:rsidR="00362C7C" w:rsidRDefault="00362C7C">
            <w:pPr>
              <w:jc w:val="right"/>
              <w:rPr>
                <w:rFonts w:ascii="Calibri" w:hAnsi="Calibri"/>
                <w:color w:val="000000"/>
              </w:rPr>
            </w:pPr>
            <w:r>
              <w:rPr>
                <w:rFonts w:ascii="Calibri" w:hAnsi="Calibri"/>
                <w:color w:val="000000"/>
              </w:rPr>
              <w:t>87.1</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DD11CMT010</w:t>
            </w:r>
          </w:p>
        </w:tc>
        <w:tc>
          <w:tcPr>
            <w:tcW w:w="1342" w:type="dxa"/>
            <w:vAlign w:val="bottom"/>
          </w:tcPr>
          <w:p w:rsidR="00362C7C" w:rsidRDefault="00362C7C">
            <w:pPr>
              <w:jc w:val="right"/>
              <w:rPr>
                <w:rFonts w:ascii="Calibri" w:hAnsi="Calibri"/>
                <w:color w:val="000000"/>
              </w:rPr>
            </w:pPr>
            <w:r>
              <w:rPr>
                <w:rFonts w:ascii="Calibri" w:hAnsi="Calibri"/>
                <w:color w:val="000000"/>
              </w:rPr>
              <w:t>74.4</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DD11CMT011</w:t>
            </w:r>
          </w:p>
        </w:tc>
        <w:tc>
          <w:tcPr>
            <w:tcW w:w="1342" w:type="dxa"/>
            <w:vAlign w:val="bottom"/>
          </w:tcPr>
          <w:p w:rsidR="00362C7C" w:rsidRDefault="00362C7C">
            <w:pPr>
              <w:jc w:val="right"/>
              <w:rPr>
                <w:rFonts w:ascii="Calibri" w:hAnsi="Calibri"/>
                <w:color w:val="000000"/>
              </w:rPr>
            </w:pPr>
            <w:r>
              <w:rPr>
                <w:rFonts w:ascii="Calibri" w:hAnsi="Calibri"/>
                <w:color w:val="000000"/>
              </w:rPr>
              <w:t>87.7</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DD11CMT012</w:t>
            </w:r>
          </w:p>
        </w:tc>
        <w:tc>
          <w:tcPr>
            <w:tcW w:w="1342" w:type="dxa"/>
            <w:vAlign w:val="bottom"/>
          </w:tcPr>
          <w:p w:rsidR="00362C7C" w:rsidRDefault="00362C7C">
            <w:pPr>
              <w:jc w:val="right"/>
              <w:rPr>
                <w:rFonts w:ascii="Calibri" w:hAnsi="Calibri"/>
                <w:color w:val="000000"/>
              </w:rPr>
            </w:pPr>
            <w:r>
              <w:rPr>
                <w:rFonts w:ascii="Calibri" w:hAnsi="Calibri"/>
                <w:color w:val="000000"/>
              </w:rPr>
              <w:t>82.4</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DD11CMT013</w:t>
            </w:r>
          </w:p>
        </w:tc>
        <w:tc>
          <w:tcPr>
            <w:tcW w:w="1342" w:type="dxa"/>
            <w:vAlign w:val="bottom"/>
          </w:tcPr>
          <w:p w:rsidR="00362C7C" w:rsidRDefault="00362C7C">
            <w:pPr>
              <w:jc w:val="right"/>
              <w:rPr>
                <w:rFonts w:ascii="Calibri" w:hAnsi="Calibri"/>
                <w:color w:val="000000"/>
              </w:rPr>
            </w:pPr>
            <w:r>
              <w:rPr>
                <w:rFonts w:ascii="Calibri" w:hAnsi="Calibri"/>
                <w:color w:val="000000"/>
              </w:rPr>
              <w:t>68.5</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DD11CMT014</w:t>
            </w:r>
          </w:p>
        </w:tc>
        <w:tc>
          <w:tcPr>
            <w:tcW w:w="1342" w:type="dxa"/>
            <w:vAlign w:val="bottom"/>
          </w:tcPr>
          <w:p w:rsidR="00362C7C" w:rsidRDefault="00362C7C">
            <w:pPr>
              <w:jc w:val="right"/>
              <w:rPr>
                <w:rFonts w:ascii="Calibri" w:hAnsi="Calibri"/>
                <w:color w:val="000000"/>
              </w:rPr>
            </w:pPr>
            <w:r>
              <w:rPr>
                <w:rFonts w:ascii="Calibri" w:hAnsi="Calibri"/>
                <w:color w:val="000000"/>
              </w:rPr>
              <w:t>95.8</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DD11CMT015</w:t>
            </w:r>
          </w:p>
        </w:tc>
        <w:tc>
          <w:tcPr>
            <w:tcW w:w="1342" w:type="dxa"/>
            <w:vAlign w:val="bottom"/>
          </w:tcPr>
          <w:p w:rsidR="00362C7C" w:rsidRDefault="00362C7C">
            <w:pPr>
              <w:jc w:val="right"/>
              <w:rPr>
                <w:rFonts w:ascii="Calibri" w:hAnsi="Calibri"/>
                <w:color w:val="000000"/>
              </w:rPr>
            </w:pPr>
            <w:r>
              <w:rPr>
                <w:rFonts w:ascii="Calibri" w:hAnsi="Calibri"/>
                <w:color w:val="000000"/>
              </w:rPr>
              <w:t>59.4</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DD11CMT016</w:t>
            </w:r>
          </w:p>
        </w:tc>
        <w:tc>
          <w:tcPr>
            <w:tcW w:w="1342" w:type="dxa"/>
            <w:vAlign w:val="bottom"/>
          </w:tcPr>
          <w:p w:rsidR="00362C7C" w:rsidRDefault="00362C7C">
            <w:pPr>
              <w:jc w:val="right"/>
              <w:rPr>
                <w:rFonts w:ascii="Calibri" w:hAnsi="Calibri"/>
                <w:color w:val="000000"/>
              </w:rPr>
            </w:pPr>
            <w:r>
              <w:rPr>
                <w:rFonts w:ascii="Calibri" w:hAnsi="Calibri"/>
                <w:color w:val="000000"/>
              </w:rPr>
              <w:t>60.7</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r w:rsidR="00362C7C" w:rsidTr="00362C7C">
        <w:tc>
          <w:tcPr>
            <w:tcW w:w="2310" w:type="dxa"/>
            <w:vAlign w:val="bottom"/>
          </w:tcPr>
          <w:p w:rsidR="00362C7C" w:rsidRDefault="00362C7C">
            <w:pPr>
              <w:rPr>
                <w:rFonts w:ascii="Calibri" w:hAnsi="Calibri"/>
                <w:color w:val="000000"/>
              </w:rPr>
            </w:pPr>
            <w:r>
              <w:rPr>
                <w:rFonts w:ascii="Calibri" w:hAnsi="Calibri"/>
                <w:color w:val="000000"/>
              </w:rPr>
              <w:t>DD11CMT017</w:t>
            </w:r>
          </w:p>
        </w:tc>
        <w:tc>
          <w:tcPr>
            <w:tcW w:w="1342" w:type="dxa"/>
            <w:vAlign w:val="bottom"/>
          </w:tcPr>
          <w:p w:rsidR="00362C7C" w:rsidRDefault="00362C7C">
            <w:pPr>
              <w:jc w:val="right"/>
              <w:rPr>
                <w:rFonts w:ascii="Calibri" w:hAnsi="Calibri"/>
                <w:color w:val="000000"/>
              </w:rPr>
            </w:pPr>
            <w:r>
              <w:rPr>
                <w:rFonts w:ascii="Calibri" w:hAnsi="Calibri"/>
                <w:color w:val="000000"/>
              </w:rPr>
              <w:t>51.5</w:t>
            </w:r>
          </w:p>
        </w:tc>
        <w:tc>
          <w:tcPr>
            <w:tcW w:w="4536" w:type="dxa"/>
          </w:tcPr>
          <w:p w:rsidR="00362C7C" w:rsidRDefault="00362C7C" w:rsidP="000B6889">
            <w:r>
              <w:t>Rotary mud pre-collars with Diamond HQ3 tails</w:t>
            </w:r>
          </w:p>
        </w:tc>
        <w:tc>
          <w:tcPr>
            <w:tcW w:w="1054" w:type="dxa"/>
          </w:tcPr>
          <w:p w:rsidR="00362C7C" w:rsidRDefault="00362C7C" w:rsidP="000B6889">
            <w:r>
              <w:t>2011</w:t>
            </w:r>
          </w:p>
        </w:tc>
      </w:tr>
    </w:tbl>
    <w:p w:rsidR="00B1211E" w:rsidRDefault="00362C7C" w:rsidP="00407DB1">
      <w:pPr>
        <w:rPr>
          <w:b/>
          <w:bCs/>
          <w:color w:val="4F81BD" w:themeColor="accent1"/>
          <w:sz w:val="18"/>
          <w:szCs w:val="18"/>
        </w:rPr>
      </w:pPr>
      <w:r w:rsidRPr="00362C7C">
        <w:rPr>
          <w:b/>
          <w:bCs/>
          <w:color w:val="4F81BD" w:themeColor="accent1"/>
          <w:sz w:val="18"/>
          <w:szCs w:val="18"/>
        </w:rPr>
        <w:t xml:space="preserve">Table </w:t>
      </w:r>
      <w:r w:rsidR="003077D0">
        <w:rPr>
          <w:b/>
          <w:bCs/>
          <w:color w:val="4F81BD" w:themeColor="accent1"/>
          <w:sz w:val="18"/>
          <w:szCs w:val="18"/>
        </w:rPr>
        <w:fldChar w:fldCharType="begin"/>
      </w:r>
      <w:r w:rsidR="003077D0">
        <w:rPr>
          <w:b/>
          <w:bCs/>
          <w:color w:val="4F81BD" w:themeColor="accent1"/>
          <w:sz w:val="18"/>
          <w:szCs w:val="18"/>
        </w:rPr>
        <w:instrText xml:space="preserve"> SEQ Table \* ARABIC </w:instrText>
      </w:r>
      <w:r w:rsidR="003077D0">
        <w:rPr>
          <w:b/>
          <w:bCs/>
          <w:color w:val="4F81BD" w:themeColor="accent1"/>
          <w:sz w:val="18"/>
          <w:szCs w:val="18"/>
        </w:rPr>
        <w:fldChar w:fldCharType="separate"/>
      </w:r>
      <w:r w:rsidR="003077D0">
        <w:rPr>
          <w:b/>
          <w:bCs/>
          <w:noProof/>
          <w:color w:val="4F81BD" w:themeColor="accent1"/>
          <w:sz w:val="18"/>
          <w:szCs w:val="18"/>
        </w:rPr>
        <w:t>1</w:t>
      </w:r>
      <w:r w:rsidR="003077D0">
        <w:rPr>
          <w:b/>
          <w:bCs/>
          <w:color w:val="4F81BD" w:themeColor="accent1"/>
          <w:sz w:val="18"/>
          <w:szCs w:val="18"/>
        </w:rPr>
        <w:fldChar w:fldCharType="end"/>
      </w:r>
      <w:r w:rsidRPr="00362C7C">
        <w:rPr>
          <w:b/>
          <w:bCs/>
          <w:color w:val="4F81BD" w:themeColor="accent1"/>
          <w:sz w:val="18"/>
          <w:szCs w:val="18"/>
        </w:rPr>
        <w:t>. Summary of drill holes used in resource evaluation.</w:t>
      </w:r>
    </w:p>
    <w:p w:rsidR="00362C7C" w:rsidRDefault="00362C7C" w:rsidP="00362C7C">
      <w:pPr>
        <w:pStyle w:val="Heading2"/>
      </w:pPr>
      <w:r>
        <w:t>Resource evaluation – solid geology model</w:t>
      </w:r>
    </w:p>
    <w:p w:rsidR="00C06A1F" w:rsidRDefault="00C06A1F" w:rsidP="00C06A1F">
      <w:pPr>
        <w:pStyle w:val="Heading3"/>
      </w:pPr>
      <w:r>
        <w:t>King Lyell Fault</w:t>
      </w:r>
    </w:p>
    <w:p w:rsidR="0098725C" w:rsidRDefault="00C06A1F" w:rsidP="00EE1571">
      <w:r>
        <w:t xml:space="preserve">Initially, the sub-vertical King Lyell Fault was extended </w:t>
      </w:r>
      <w:r w:rsidR="00EE1571">
        <w:t>under the cover to</w:t>
      </w:r>
      <w:r>
        <w:t xml:space="preserve"> the </w:t>
      </w:r>
      <w:r w:rsidR="00EE1571">
        <w:t xml:space="preserve">south </w:t>
      </w:r>
      <w:r>
        <w:t>east</w:t>
      </w:r>
      <w:r w:rsidR="00362C57">
        <w:t xml:space="preserve"> to provide a southe</w:t>
      </w:r>
      <w:r w:rsidR="00EE1571">
        <w:t>rn boundary to miner</w:t>
      </w:r>
      <w:r w:rsidR="00A64AF2">
        <w:t xml:space="preserve">alisation. </w:t>
      </w:r>
      <w:r w:rsidR="0098725C">
        <w:t xml:space="preserve"> Using this extrapolation as a</w:t>
      </w:r>
      <w:r w:rsidR="00A64AF2">
        <w:t xml:space="preserve"> </w:t>
      </w:r>
      <w:r w:rsidR="0098725C">
        <w:t>boundary</w:t>
      </w:r>
      <w:r w:rsidR="00A64AF2">
        <w:t xml:space="preserve"> </w:t>
      </w:r>
      <w:r w:rsidR="0098725C">
        <w:t xml:space="preserve">to mineralisation </w:t>
      </w:r>
      <w:r w:rsidR="00A64AF2">
        <w:t xml:space="preserve">is a reasonable assumption due to </w:t>
      </w:r>
      <w:r w:rsidR="0098725C">
        <w:t>absence</w:t>
      </w:r>
      <w:r w:rsidR="00A64AF2">
        <w:t xml:space="preserve"> of mineralisation found </w:t>
      </w:r>
      <w:r w:rsidR="0098725C">
        <w:t xml:space="preserve">in drill holes 96KLC0003, 05KLD004, 05KLD006, DD11CMT016 and DD11CMT017 (south of boundary, Figure 3). </w:t>
      </w:r>
    </w:p>
    <w:p w:rsidR="0098725C" w:rsidRDefault="0098725C" w:rsidP="00EE1571">
      <w:r>
        <w:t xml:space="preserve">Using this extrapolation as a fault for solid geology modelling is less robust due to lack of intercepts in drill holes and uncertainty in the geometry of the fault where mapped.  </w:t>
      </w:r>
      <w:r w:rsidR="00966215">
        <w:t>D</w:t>
      </w:r>
      <w:r>
        <w:t xml:space="preserve">rill intercepts suggest that the Pioneer Beds are </w:t>
      </w:r>
      <w:r w:rsidR="00966215">
        <w:t xml:space="preserve">increasingly </w:t>
      </w:r>
      <w:r>
        <w:t xml:space="preserve">offset </w:t>
      </w:r>
      <w:r w:rsidR="00966215">
        <w:t xml:space="preserve">to east (south side up) across this zone.  This could be a result of faulting or fold asymmetry.    </w:t>
      </w:r>
    </w:p>
    <w:p w:rsidR="00EE1571" w:rsidRDefault="0098725C" w:rsidP="00EE1571">
      <w:r>
        <w:t xml:space="preserve"> </w:t>
      </w:r>
    </w:p>
    <w:p w:rsidR="0098725C" w:rsidRDefault="0098725C" w:rsidP="00EE1571"/>
    <w:p w:rsidR="0098725C" w:rsidRDefault="00A64AF2" w:rsidP="009A5BF8">
      <w:pPr>
        <w:keepNext/>
        <w:spacing w:after="0" w:line="240" w:lineRule="auto"/>
      </w:pPr>
      <w:r>
        <w:rPr>
          <w:noProof/>
          <w:lang w:eastAsia="en-AU"/>
        </w:rPr>
        <w:lastRenderedPageBreak/>
        <w:drawing>
          <wp:inline distT="0" distB="0" distL="0" distR="0" wp14:anchorId="135B9481" wp14:editId="3B5CDCE6">
            <wp:extent cx="5699051" cy="3866022"/>
            <wp:effectExtent l="19050" t="19050" r="16510" b="203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nglyellfault.png"/>
                    <pic:cNvPicPr/>
                  </pic:nvPicPr>
                  <pic:blipFill rotWithShape="1">
                    <a:blip r:embed="rId12" cstate="print">
                      <a:extLst>
                        <a:ext uri="{28A0092B-C50C-407E-A947-70E740481C1C}">
                          <a14:useLocalDpi xmlns:a14="http://schemas.microsoft.com/office/drawing/2010/main" val="0"/>
                        </a:ext>
                      </a:extLst>
                    </a:blip>
                    <a:srcRect l="19619" t="10927" r="23521" b="12251"/>
                    <a:stretch/>
                  </pic:blipFill>
                  <pic:spPr bwMode="auto">
                    <a:xfrm>
                      <a:off x="0" y="0"/>
                      <a:ext cx="5706035" cy="387076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64AF2" w:rsidRDefault="0098725C" w:rsidP="0098725C">
      <w:pPr>
        <w:pStyle w:val="Caption"/>
      </w:pPr>
      <w:r>
        <w:t xml:space="preserve">Figure </w:t>
      </w:r>
      <w:r w:rsidR="00EE6194">
        <w:fldChar w:fldCharType="begin"/>
      </w:r>
      <w:r w:rsidR="00EE6194">
        <w:instrText xml:space="preserve"> SEQ Figure \* AR</w:instrText>
      </w:r>
      <w:r w:rsidR="00EE6194">
        <w:instrText xml:space="preserve">ABIC </w:instrText>
      </w:r>
      <w:r w:rsidR="00EE6194">
        <w:fldChar w:fldCharType="separate"/>
      </w:r>
      <w:r w:rsidR="00585919">
        <w:rPr>
          <w:noProof/>
        </w:rPr>
        <w:t>3</w:t>
      </w:r>
      <w:r w:rsidR="00EE6194">
        <w:rPr>
          <w:noProof/>
        </w:rPr>
        <w:fldChar w:fldCharType="end"/>
      </w:r>
      <w:r w:rsidR="00682E3A">
        <w:t>. King Lyell F</w:t>
      </w:r>
      <w:r>
        <w:t xml:space="preserve">ault as mapped (grey dashed) and King Lyell </w:t>
      </w:r>
      <w:r w:rsidR="00682E3A">
        <w:t>F</w:t>
      </w:r>
      <w:r>
        <w:t>ault extension (red dashed).</w:t>
      </w:r>
      <w:r w:rsidR="00B47ECC">
        <w:t xml:space="preserve">  1996 programme=green, 2005 programme=red, 2011 programme=blue collars.</w:t>
      </w:r>
    </w:p>
    <w:p w:rsidR="00C06A1F" w:rsidRDefault="00966215" w:rsidP="00966215">
      <w:pPr>
        <w:pStyle w:val="Heading3"/>
      </w:pPr>
      <w:r>
        <w:t>Pioneer Beds</w:t>
      </w:r>
    </w:p>
    <w:p w:rsidR="00141827" w:rsidRDefault="009708B9" w:rsidP="00141827">
      <w:r>
        <w:t>The top</w:t>
      </w:r>
      <w:r w:rsidR="00966215">
        <w:t xml:space="preserve"> of the Pioneer Beds represent the lower surface of the Gordon Group </w:t>
      </w:r>
      <w:r>
        <w:t>and hence the lower limit of the King Lyell resource.  T</w:t>
      </w:r>
      <w:r w:rsidR="00141827">
        <w:t>he upper surface of the Pioneer Beds was modelled using a combination of drill</w:t>
      </w:r>
      <w:r>
        <w:t>-</w:t>
      </w:r>
      <w:r w:rsidR="00141827">
        <w:t xml:space="preserve">hole intercepts and surface geology.  The model of the Pioneers beds took into account both the form of the tight Devonian folding and </w:t>
      </w:r>
      <w:r w:rsidR="00C06A1F">
        <w:t>the extension of the King Lyell Fault.</w:t>
      </w:r>
      <w:r>
        <w:t xml:space="preserve">  The geometry of the Pioneer Beds is well understood to the north, south and west, however, due to lack of drilling there remains some uncertainty to the east.</w:t>
      </w:r>
    </w:p>
    <w:p w:rsidR="003D71E1" w:rsidRDefault="003D71E1" w:rsidP="00141827">
      <w:r>
        <w:t>The results of the modelling are displayed in Figure 4.</w:t>
      </w:r>
      <w:r w:rsidR="00545937">
        <w:t xml:space="preserve">  The Pioneer Beds have an overall east-west synclinal form that shallows to the west.  There is a subtle antiformal east-west fold in the centre of the syncline.  The surface is also modelled with a vertical offset of up to 25m at the eastern end of the King Lyell fault extension.    </w:t>
      </w:r>
    </w:p>
    <w:p w:rsidR="00545937" w:rsidRDefault="00682E3A" w:rsidP="00545937">
      <w:pPr>
        <w:pStyle w:val="Heading3"/>
      </w:pPr>
      <w:r>
        <w:t>Copper Clays resource wireframe</w:t>
      </w:r>
    </w:p>
    <w:p w:rsidR="00682E3A" w:rsidRDefault="00682E3A" w:rsidP="00682E3A">
      <w:r>
        <w:t>The mineralised portion of the copper clays was modelled from both the drill-hole grade and lithology intercepts and the surface geology under the following constraints:</w:t>
      </w:r>
    </w:p>
    <w:p w:rsidR="00682E3A" w:rsidRDefault="00682E3A" w:rsidP="00682E3A">
      <w:r>
        <w:tab/>
        <w:t>1) The wireframe was to include drill-hole intervals greater than 0.4 % Cu.</w:t>
      </w:r>
    </w:p>
    <w:p w:rsidR="00682E3A" w:rsidRDefault="00682E3A" w:rsidP="00682E3A">
      <w:r>
        <w:tab/>
        <w:t xml:space="preserve">2) The wireframe was not to cross to the south of the King Lyell Fault boundary. </w:t>
      </w:r>
    </w:p>
    <w:p w:rsidR="00682E3A" w:rsidRDefault="00682E3A" w:rsidP="00682E3A">
      <w:r>
        <w:tab/>
        <w:t>3) The wireframe was to remain above the Pioneer Beds surface</w:t>
      </w:r>
      <w:r w:rsidR="009E2D67">
        <w:t>.</w:t>
      </w:r>
    </w:p>
    <w:p w:rsidR="009E2D67" w:rsidRDefault="009E2D67" w:rsidP="00682E3A">
      <w:r>
        <w:tab/>
        <w:t>4) The wireframe was to remain below topography.</w:t>
      </w:r>
    </w:p>
    <w:p w:rsidR="00682E3A" w:rsidRDefault="00682E3A" w:rsidP="00682E3A">
      <w:r>
        <w:lastRenderedPageBreak/>
        <w:tab/>
      </w:r>
      <w:r w:rsidR="009E2D67">
        <w:t>5</w:t>
      </w:r>
      <w:r>
        <w:t xml:space="preserve">) The wireframe was to include surface mapped copper </w:t>
      </w:r>
      <w:r w:rsidR="00BB4AFB">
        <w:t>bearing</w:t>
      </w:r>
      <w:r>
        <w:t xml:space="preserve"> clays.</w:t>
      </w:r>
    </w:p>
    <w:p w:rsidR="003D71E1" w:rsidRDefault="009708B9" w:rsidP="009A5BF8">
      <w:pPr>
        <w:keepNext/>
        <w:spacing w:after="0" w:line="240" w:lineRule="auto"/>
      </w:pPr>
      <w:r>
        <w:rPr>
          <w:noProof/>
          <w:lang w:eastAsia="en-AU"/>
        </w:rPr>
        <w:drawing>
          <wp:inline distT="0" distB="0" distL="0" distR="0" wp14:anchorId="5077CF6D" wp14:editId="1F5D5A59">
            <wp:extent cx="4279032" cy="363855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282757" cy="3641717"/>
                    </a:xfrm>
                    <a:prstGeom prst="rect">
                      <a:avLst/>
                    </a:prstGeom>
                  </pic:spPr>
                </pic:pic>
              </a:graphicData>
            </a:graphic>
          </wp:inline>
        </w:drawing>
      </w:r>
    </w:p>
    <w:p w:rsidR="009708B9" w:rsidRDefault="003D71E1" w:rsidP="003D71E1">
      <w:pPr>
        <w:pStyle w:val="Caption"/>
      </w:pPr>
      <w:r>
        <w:t xml:space="preserve">Figure </w:t>
      </w:r>
      <w:r w:rsidR="00EE6194">
        <w:fldChar w:fldCharType="begin"/>
      </w:r>
      <w:r w:rsidR="00EE6194">
        <w:instrText xml:space="preserve"> SEQ Figure \* ARABIC </w:instrText>
      </w:r>
      <w:r w:rsidR="00EE6194">
        <w:fldChar w:fldCharType="separate"/>
      </w:r>
      <w:r w:rsidR="00585919">
        <w:rPr>
          <w:noProof/>
        </w:rPr>
        <w:t>4</w:t>
      </w:r>
      <w:r w:rsidR="00EE6194">
        <w:rPr>
          <w:noProof/>
        </w:rPr>
        <w:fldChar w:fldCharType="end"/>
      </w:r>
      <w:r>
        <w:t xml:space="preserve">. Modelled Pioneer Beds surface (Pink) and King Lyell </w:t>
      </w:r>
      <w:r w:rsidR="00682E3A">
        <w:t>F</w:t>
      </w:r>
      <w:r>
        <w:t>ault extension (grey) looking west.  Drill holes displayed (Pioneer Beds = pink, Gordon Group clays = tan, Undifferentiated clays = dark grey, Alluvium and tailings = light grey, Recent fill = green).</w:t>
      </w:r>
    </w:p>
    <w:p w:rsidR="009A3ABD" w:rsidRDefault="009A3ABD" w:rsidP="009A5BF8">
      <w:pPr>
        <w:keepNext/>
        <w:spacing w:after="0"/>
      </w:pPr>
      <w:r>
        <w:rPr>
          <w:noProof/>
          <w:lang w:eastAsia="en-AU"/>
        </w:rPr>
        <w:drawing>
          <wp:inline distT="0" distB="0" distL="0" distR="0" wp14:anchorId="0CB9815B" wp14:editId="43A44A3D">
            <wp:extent cx="4555143" cy="37623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564442" cy="3770056"/>
                    </a:xfrm>
                    <a:prstGeom prst="rect">
                      <a:avLst/>
                    </a:prstGeom>
                  </pic:spPr>
                </pic:pic>
              </a:graphicData>
            </a:graphic>
          </wp:inline>
        </w:drawing>
      </w:r>
    </w:p>
    <w:p w:rsidR="00682E3A" w:rsidRDefault="009A3ABD" w:rsidP="009A3ABD">
      <w:pPr>
        <w:pStyle w:val="Caption"/>
      </w:pPr>
      <w:r>
        <w:t xml:space="preserve">Figure </w:t>
      </w:r>
      <w:r w:rsidR="00EE6194">
        <w:fldChar w:fldCharType="begin"/>
      </w:r>
      <w:r w:rsidR="00EE6194">
        <w:instrText xml:space="preserve"> SEQ Figure \* ARABIC </w:instrText>
      </w:r>
      <w:r w:rsidR="00EE6194">
        <w:fldChar w:fldCharType="separate"/>
      </w:r>
      <w:r w:rsidR="00585919">
        <w:rPr>
          <w:noProof/>
        </w:rPr>
        <w:t>5</w:t>
      </w:r>
      <w:r w:rsidR="00EE6194">
        <w:rPr>
          <w:noProof/>
        </w:rPr>
        <w:fldChar w:fldCharType="end"/>
      </w:r>
      <w:r>
        <w:t>. Modelled mineralised wireframe (brown), constrained by Pioneer Beds (pink) and King Lyell Fault extension (grey).</w:t>
      </w:r>
    </w:p>
    <w:p w:rsidR="00682E3A" w:rsidRDefault="00BC6492" w:rsidP="00682E3A">
      <w:r>
        <w:lastRenderedPageBreak/>
        <w:t>The resulting wireframe representing the King Lyell resource had a maximum dimensions 220m NW-SE, 90m NE-SW and a maximum thickness of ~20m</w:t>
      </w:r>
      <w:r w:rsidR="009E2D67">
        <w:t xml:space="preserve"> (Figure 5.)</w:t>
      </w:r>
      <w:r>
        <w:t xml:space="preserve">.  The </w:t>
      </w:r>
      <w:r w:rsidR="00AB534B">
        <w:t>deposit dips at 30°</w:t>
      </w:r>
      <w:r>
        <w:t xml:space="preserve"> </w:t>
      </w:r>
      <w:r w:rsidR="00AB534B">
        <w:t xml:space="preserve">towards </w:t>
      </w:r>
      <w:r w:rsidR="00A00511">
        <w:t>120°</w:t>
      </w:r>
      <w:r w:rsidR="00AB534B">
        <w:t xml:space="preserve"> and has antiformal structure, mirroring the subtle antiform of the underlying Pioneer Beds.  In the centre of the antiform, the wireframe sits above the top of the Pioneer Beds.  The volume of the wireframe is 131,166m</w:t>
      </w:r>
      <w:r w:rsidR="00AB534B">
        <w:rPr>
          <w:vertAlign w:val="superscript"/>
        </w:rPr>
        <w:t>3</w:t>
      </w:r>
      <w:r w:rsidR="00AB534B">
        <w:t>.</w:t>
      </w:r>
      <w:r>
        <w:t xml:space="preserve"> </w:t>
      </w:r>
      <w:r w:rsidR="00033042">
        <w:t xml:space="preserve"> It is important to note that the eastern end of the wireframe was modelled </w:t>
      </w:r>
      <w:r w:rsidR="006A0A26">
        <w:t>entirely on grade due to lack of drill-</w:t>
      </w:r>
      <w:r w:rsidR="00033042">
        <w:t>hole data.</w:t>
      </w:r>
    </w:p>
    <w:p w:rsidR="00BC6492" w:rsidRDefault="00BB4AFB" w:rsidP="00BB4AFB">
      <w:pPr>
        <w:pStyle w:val="Heading2"/>
      </w:pPr>
      <w:r>
        <w:t>Resource evaluation – Resource estimation</w:t>
      </w:r>
    </w:p>
    <w:p w:rsidR="00A00511" w:rsidRPr="00A00511" w:rsidRDefault="00A00511" w:rsidP="00A00511">
      <w:r>
        <w:t>Resource estimation was carried out in the 315_GRL mine grid.</w:t>
      </w:r>
    </w:p>
    <w:p w:rsidR="00BB4AFB" w:rsidRPr="002235E5" w:rsidRDefault="00BB4AFB" w:rsidP="00BB4AFB">
      <w:pPr>
        <w:pStyle w:val="Heading3"/>
      </w:pPr>
      <w:r w:rsidRPr="002235E5">
        <w:t>Block model parameters</w:t>
      </w:r>
    </w:p>
    <w:tbl>
      <w:tblPr>
        <w:tblStyle w:val="TableGrid"/>
        <w:tblW w:w="0" w:type="auto"/>
        <w:tblLook w:val="04A0" w:firstRow="1" w:lastRow="0" w:firstColumn="1" w:lastColumn="0" w:noHBand="0" w:noVBand="1"/>
      </w:tblPr>
      <w:tblGrid>
        <w:gridCol w:w="2310"/>
        <w:gridCol w:w="2310"/>
        <w:gridCol w:w="2311"/>
        <w:gridCol w:w="2311"/>
      </w:tblGrid>
      <w:tr w:rsidR="002235E5" w:rsidRPr="002235E5" w:rsidTr="002235E5">
        <w:tc>
          <w:tcPr>
            <w:tcW w:w="2310" w:type="dxa"/>
          </w:tcPr>
          <w:p w:rsidR="002235E5" w:rsidRPr="002235E5" w:rsidRDefault="002235E5" w:rsidP="002235E5"/>
        </w:tc>
        <w:tc>
          <w:tcPr>
            <w:tcW w:w="2310" w:type="dxa"/>
          </w:tcPr>
          <w:p w:rsidR="002235E5" w:rsidRPr="002235E5" w:rsidRDefault="002235E5" w:rsidP="002235E5">
            <w:r w:rsidRPr="002235E5">
              <w:t>Y</w:t>
            </w:r>
          </w:p>
        </w:tc>
        <w:tc>
          <w:tcPr>
            <w:tcW w:w="2311" w:type="dxa"/>
          </w:tcPr>
          <w:p w:rsidR="002235E5" w:rsidRPr="002235E5" w:rsidRDefault="002235E5" w:rsidP="002235E5">
            <w:r w:rsidRPr="002235E5">
              <w:t>X</w:t>
            </w:r>
          </w:p>
        </w:tc>
        <w:tc>
          <w:tcPr>
            <w:tcW w:w="2311" w:type="dxa"/>
          </w:tcPr>
          <w:p w:rsidR="002235E5" w:rsidRPr="002235E5" w:rsidRDefault="002235E5" w:rsidP="002235E5">
            <w:r w:rsidRPr="002235E5">
              <w:t>Z</w:t>
            </w:r>
          </w:p>
        </w:tc>
      </w:tr>
      <w:tr w:rsidR="002235E5" w:rsidRPr="002235E5" w:rsidTr="002235E5">
        <w:tc>
          <w:tcPr>
            <w:tcW w:w="2310" w:type="dxa"/>
          </w:tcPr>
          <w:p w:rsidR="002235E5" w:rsidRPr="002235E5" w:rsidRDefault="002235E5" w:rsidP="002235E5">
            <w:r w:rsidRPr="002235E5">
              <w:t>Minimum coordinates</w:t>
            </w:r>
          </w:p>
        </w:tc>
        <w:tc>
          <w:tcPr>
            <w:tcW w:w="2310" w:type="dxa"/>
          </w:tcPr>
          <w:p w:rsidR="002235E5" w:rsidRPr="002235E5" w:rsidRDefault="002235E5" w:rsidP="002235E5">
            <w:r w:rsidRPr="002235E5">
              <w:t>6900</w:t>
            </w:r>
          </w:p>
        </w:tc>
        <w:tc>
          <w:tcPr>
            <w:tcW w:w="2311" w:type="dxa"/>
          </w:tcPr>
          <w:p w:rsidR="002235E5" w:rsidRPr="002235E5" w:rsidRDefault="002235E5" w:rsidP="002235E5">
            <w:r w:rsidRPr="002235E5">
              <w:t>3500</w:t>
            </w:r>
          </w:p>
        </w:tc>
        <w:tc>
          <w:tcPr>
            <w:tcW w:w="2311" w:type="dxa"/>
          </w:tcPr>
          <w:p w:rsidR="002235E5" w:rsidRPr="002235E5" w:rsidRDefault="002235E5" w:rsidP="002235E5">
            <w:r w:rsidRPr="002235E5">
              <w:t>2300</w:t>
            </w:r>
          </w:p>
        </w:tc>
      </w:tr>
      <w:tr w:rsidR="002235E5" w:rsidRPr="002235E5" w:rsidTr="002235E5">
        <w:tc>
          <w:tcPr>
            <w:tcW w:w="2310" w:type="dxa"/>
          </w:tcPr>
          <w:p w:rsidR="002235E5" w:rsidRPr="002235E5" w:rsidRDefault="002235E5" w:rsidP="002235E5">
            <w:r w:rsidRPr="002235E5">
              <w:t>Maximum coordinates</w:t>
            </w:r>
          </w:p>
        </w:tc>
        <w:tc>
          <w:tcPr>
            <w:tcW w:w="2310" w:type="dxa"/>
          </w:tcPr>
          <w:p w:rsidR="002235E5" w:rsidRPr="002235E5" w:rsidRDefault="002235E5" w:rsidP="009C577A">
            <w:r w:rsidRPr="002235E5">
              <w:t>7</w:t>
            </w:r>
            <w:r w:rsidR="009C577A">
              <w:t>6</w:t>
            </w:r>
            <w:r w:rsidRPr="002235E5">
              <w:t>00</w:t>
            </w:r>
          </w:p>
        </w:tc>
        <w:tc>
          <w:tcPr>
            <w:tcW w:w="2311" w:type="dxa"/>
          </w:tcPr>
          <w:p w:rsidR="002235E5" w:rsidRPr="002235E5" w:rsidRDefault="009C577A" w:rsidP="002235E5">
            <w:r>
              <w:t>5000</w:t>
            </w:r>
          </w:p>
        </w:tc>
        <w:tc>
          <w:tcPr>
            <w:tcW w:w="2311" w:type="dxa"/>
          </w:tcPr>
          <w:p w:rsidR="002235E5" w:rsidRPr="002235E5" w:rsidRDefault="002235E5" w:rsidP="002235E5">
            <w:r w:rsidRPr="002235E5">
              <w:t>2700</w:t>
            </w:r>
          </w:p>
        </w:tc>
      </w:tr>
      <w:tr w:rsidR="002235E5" w:rsidRPr="002235E5" w:rsidTr="002235E5">
        <w:tc>
          <w:tcPr>
            <w:tcW w:w="2310" w:type="dxa"/>
          </w:tcPr>
          <w:p w:rsidR="002235E5" w:rsidRPr="002235E5" w:rsidRDefault="002235E5" w:rsidP="002235E5">
            <w:r w:rsidRPr="002235E5">
              <w:t>User block size</w:t>
            </w:r>
          </w:p>
        </w:tc>
        <w:tc>
          <w:tcPr>
            <w:tcW w:w="2310" w:type="dxa"/>
          </w:tcPr>
          <w:p w:rsidR="002235E5" w:rsidRPr="002235E5" w:rsidRDefault="002235E5" w:rsidP="002235E5">
            <w:r w:rsidRPr="002235E5">
              <w:t>10</w:t>
            </w:r>
          </w:p>
        </w:tc>
        <w:tc>
          <w:tcPr>
            <w:tcW w:w="2311" w:type="dxa"/>
          </w:tcPr>
          <w:p w:rsidR="002235E5" w:rsidRPr="002235E5" w:rsidRDefault="002235E5" w:rsidP="002235E5">
            <w:r w:rsidRPr="002235E5">
              <w:t>10</w:t>
            </w:r>
          </w:p>
        </w:tc>
        <w:tc>
          <w:tcPr>
            <w:tcW w:w="2311" w:type="dxa"/>
          </w:tcPr>
          <w:p w:rsidR="002235E5" w:rsidRPr="002235E5" w:rsidRDefault="002235E5" w:rsidP="002235E5">
            <w:r w:rsidRPr="002235E5">
              <w:t>2</w:t>
            </w:r>
          </w:p>
        </w:tc>
      </w:tr>
      <w:tr w:rsidR="002235E5" w:rsidRPr="002235E5" w:rsidTr="002235E5">
        <w:tc>
          <w:tcPr>
            <w:tcW w:w="2310" w:type="dxa"/>
          </w:tcPr>
          <w:p w:rsidR="002235E5" w:rsidRPr="002235E5" w:rsidRDefault="002235E5" w:rsidP="002235E5">
            <w:r w:rsidRPr="002235E5">
              <w:t>Sub blocking</w:t>
            </w:r>
          </w:p>
        </w:tc>
        <w:tc>
          <w:tcPr>
            <w:tcW w:w="2310" w:type="dxa"/>
          </w:tcPr>
          <w:p w:rsidR="002235E5" w:rsidRPr="002235E5" w:rsidRDefault="002235E5" w:rsidP="002235E5">
            <w:r w:rsidRPr="002235E5">
              <w:t>5</w:t>
            </w:r>
          </w:p>
        </w:tc>
        <w:tc>
          <w:tcPr>
            <w:tcW w:w="2311" w:type="dxa"/>
          </w:tcPr>
          <w:p w:rsidR="002235E5" w:rsidRPr="002235E5" w:rsidRDefault="002235E5" w:rsidP="002235E5">
            <w:r w:rsidRPr="002235E5">
              <w:t>5</w:t>
            </w:r>
          </w:p>
        </w:tc>
        <w:tc>
          <w:tcPr>
            <w:tcW w:w="2311" w:type="dxa"/>
          </w:tcPr>
          <w:p w:rsidR="002235E5" w:rsidRPr="002235E5" w:rsidRDefault="002235E5" w:rsidP="002235E5">
            <w:r w:rsidRPr="002235E5">
              <w:t>1</w:t>
            </w:r>
          </w:p>
        </w:tc>
      </w:tr>
      <w:tr w:rsidR="002235E5" w:rsidRPr="002235E5" w:rsidTr="002235E5">
        <w:trPr>
          <w:gridAfter w:val="2"/>
          <w:wAfter w:w="4622" w:type="dxa"/>
        </w:trPr>
        <w:tc>
          <w:tcPr>
            <w:tcW w:w="2310" w:type="dxa"/>
          </w:tcPr>
          <w:p w:rsidR="002235E5" w:rsidRPr="002235E5" w:rsidRDefault="002235E5" w:rsidP="002235E5">
            <w:r w:rsidRPr="002235E5">
              <w:t>Rotation bearing</w:t>
            </w:r>
          </w:p>
        </w:tc>
        <w:tc>
          <w:tcPr>
            <w:tcW w:w="2310" w:type="dxa"/>
          </w:tcPr>
          <w:p w:rsidR="002235E5" w:rsidRPr="002235E5" w:rsidRDefault="009C577A" w:rsidP="002235E5">
            <w:r>
              <w:t>70</w:t>
            </w:r>
          </w:p>
        </w:tc>
      </w:tr>
      <w:tr w:rsidR="002235E5" w:rsidRPr="002235E5" w:rsidTr="002235E5">
        <w:trPr>
          <w:gridAfter w:val="2"/>
          <w:wAfter w:w="4622" w:type="dxa"/>
        </w:trPr>
        <w:tc>
          <w:tcPr>
            <w:tcW w:w="2310" w:type="dxa"/>
          </w:tcPr>
          <w:p w:rsidR="002235E5" w:rsidRPr="002235E5" w:rsidRDefault="002235E5" w:rsidP="002235E5">
            <w:r w:rsidRPr="002235E5">
              <w:t>Rotation dip</w:t>
            </w:r>
          </w:p>
        </w:tc>
        <w:tc>
          <w:tcPr>
            <w:tcW w:w="2310" w:type="dxa"/>
          </w:tcPr>
          <w:p w:rsidR="002235E5" w:rsidRPr="002235E5" w:rsidRDefault="002235E5" w:rsidP="002235E5">
            <w:r w:rsidRPr="002235E5">
              <w:t>-30</w:t>
            </w:r>
          </w:p>
        </w:tc>
      </w:tr>
      <w:tr w:rsidR="002235E5" w:rsidRPr="002235E5" w:rsidTr="002235E5">
        <w:trPr>
          <w:gridAfter w:val="2"/>
          <w:wAfter w:w="4622" w:type="dxa"/>
        </w:trPr>
        <w:tc>
          <w:tcPr>
            <w:tcW w:w="2310" w:type="dxa"/>
          </w:tcPr>
          <w:p w:rsidR="002235E5" w:rsidRPr="002235E5" w:rsidRDefault="002235E5" w:rsidP="002235E5">
            <w:r w:rsidRPr="002235E5">
              <w:t>Rotation plunge</w:t>
            </w:r>
          </w:p>
        </w:tc>
        <w:tc>
          <w:tcPr>
            <w:tcW w:w="2310" w:type="dxa"/>
          </w:tcPr>
          <w:p w:rsidR="002235E5" w:rsidRPr="002235E5" w:rsidRDefault="002235E5" w:rsidP="002235E5">
            <w:r w:rsidRPr="002235E5">
              <w:t>0</w:t>
            </w:r>
          </w:p>
        </w:tc>
      </w:tr>
    </w:tbl>
    <w:p w:rsidR="00BB4AFB" w:rsidRPr="002235E5" w:rsidRDefault="00BB4AFB" w:rsidP="002235E5">
      <w:r w:rsidRPr="002235E5">
        <w:t xml:space="preserve"> </w:t>
      </w:r>
    </w:p>
    <w:p w:rsidR="002235E5" w:rsidRDefault="002235E5" w:rsidP="002235E5">
      <w:pPr>
        <w:pStyle w:val="Heading3"/>
      </w:pPr>
      <w:r>
        <w:t>Estimation parameters</w:t>
      </w:r>
    </w:p>
    <w:p w:rsidR="002235E5" w:rsidRDefault="002235E5" w:rsidP="002235E5">
      <w:r>
        <w:t>The inverse distance squared metho</w:t>
      </w:r>
      <w:r w:rsidR="009C577A">
        <w:t>d was used for grade estimation inside the mineralised wireframe.</w:t>
      </w:r>
    </w:p>
    <w:p w:rsidR="002235E5" w:rsidRDefault="002235E5" w:rsidP="002235E5">
      <w:r>
        <w:t>The search directions were ori</w:t>
      </w:r>
      <w:r w:rsidR="00A00511">
        <w:t>ented along strike and down dip.</w:t>
      </w:r>
    </w:p>
    <w:tbl>
      <w:tblPr>
        <w:tblStyle w:val="TableGrid"/>
        <w:tblW w:w="0" w:type="auto"/>
        <w:tblLook w:val="04A0" w:firstRow="1" w:lastRow="0" w:firstColumn="1" w:lastColumn="0" w:noHBand="0" w:noVBand="1"/>
      </w:tblPr>
      <w:tblGrid>
        <w:gridCol w:w="4503"/>
        <w:gridCol w:w="1275"/>
        <w:gridCol w:w="1276"/>
        <w:gridCol w:w="1284"/>
      </w:tblGrid>
      <w:tr w:rsidR="00DE17D1" w:rsidTr="00DE17D1">
        <w:tc>
          <w:tcPr>
            <w:tcW w:w="4503" w:type="dxa"/>
          </w:tcPr>
          <w:p w:rsidR="00DE17D1" w:rsidRDefault="00DE17D1" w:rsidP="002235E5">
            <w:r>
              <w:t>Parameter</w:t>
            </w:r>
          </w:p>
        </w:tc>
        <w:tc>
          <w:tcPr>
            <w:tcW w:w="3835" w:type="dxa"/>
            <w:gridSpan w:val="3"/>
            <w:vAlign w:val="center"/>
          </w:tcPr>
          <w:p w:rsidR="00DE17D1" w:rsidRDefault="00DE17D1" w:rsidP="00DE17D1">
            <w:pPr>
              <w:jc w:val="center"/>
            </w:pPr>
            <w:r>
              <w:t>Magnitude</w:t>
            </w:r>
          </w:p>
        </w:tc>
      </w:tr>
      <w:tr w:rsidR="00DE17D1" w:rsidTr="00DE17D1">
        <w:tc>
          <w:tcPr>
            <w:tcW w:w="4503" w:type="dxa"/>
          </w:tcPr>
          <w:p w:rsidR="00DE17D1" w:rsidRDefault="00DE17D1" w:rsidP="002235E5"/>
        </w:tc>
        <w:tc>
          <w:tcPr>
            <w:tcW w:w="1275" w:type="dxa"/>
          </w:tcPr>
          <w:p w:rsidR="00DE17D1" w:rsidRDefault="00DE17D1" w:rsidP="002235E5">
            <w:r>
              <w:t>Pass 1</w:t>
            </w:r>
          </w:p>
        </w:tc>
        <w:tc>
          <w:tcPr>
            <w:tcW w:w="1276" w:type="dxa"/>
          </w:tcPr>
          <w:p w:rsidR="00DE17D1" w:rsidRDefault="00DE17D1" w:rsidP="002235E5">
            <w:r>
              <w:t>Pass 2</w:t>
            </w:r>
          </w:p>
        </w:tc>
        <w:tc>
          <w:tcPr>
            <w:tcW w:w="1284" w:type="dxa"/>
          </w:tcPr>
          <w:p w:rsidR="00DE17D1" w:rsidRDefault="00DE17D1" w:rsidP="002235E5">
            <w:r>
              <w:t>Pass 3</w:t>
            </w:r>
          </w:p>
        </w:tc>
      </w:tr>
      <w:tr w:rsidR="00DE17D1" w:rsidTr="00DE17D1">
        <w:tc>
          <w:tcPr>
            <w:tcW w:w="4503" w:type="dxa"/>
          </w:tcPr>
          <w:p w:rsidR="00DE17D1" w:rsidRDefault="00DE17D1" w:rsidP="002235E5">
            <w:r>
              <w:t>Min number of samples</w:t>
            </w:r>
          </w:p>
        </w:tc>
        <w:tc>
          <w:tcPr>
            <w:tcW w:w="1275" w:type="dxa"/>
          </w:tcPr>
          <w:p w:rsidR="00DE17D1" w:rsidRDefault="00DE17D1" w:rsidP="002235E5">
            <w:r>
              <w:t>4</w:t>
            </w:r>
          </w:p>
        </w:tc>
        <w:tc>
          <w:tcPr>
            <w:tcW w:w="1276" w:type="dxa"/>
          </w:tcPr>
          <w:p w:rsidR="00DE17D1" w:rsidRDefault="00DE17D1" w:rsidP="00585919">
            <w:r>
              <w:t>4</w:t>
            </w:r>
          </w:p>
        </w:tc>
        <w:tc>
          <w:tcPr>
            <w:tcW w:w="1284" w:type="dxa"/>
          </w:tcPr>
          <w:p w:rsidR="00DE17D1" w:rsidRDefault="00DE17D1" w:rsidP="00585919">
            <w:r>
              <w:t>2</w:t>
            </w:r>
          </w:p>
        </w:tc>
      </w:tr>
      <w:tr w:rsidR="00DE17D1" w:rsidTr="00DE17D1">
        <w:tc>
          <w:tcPr>
            <w:tcW w:w="4503" w:type="dxa"/>
          </w:tcPr>
          <w:p w:rsidR="00DE17D1" w:rsidRDefault="00DE17D1" w:rsidP="002235E5">
            <w:r>
              <w:t>Max number of samples</w:t>
            </w:r>
          </w:p>
        </w:tc>
        <w:tc>
          <w:tcPr>
            <w:tcW w:w="1275" w:type="dxa"/>
          </w:tcPr>
          <w:p w:rsidR="00DE17D1" w:rsidRDefault="00DE17D1" w:rsidP="002235E5">
            <w:r>
              <w:t>30</w:t>
            </w:r>
          </w:p>
        </w:tc>
        <w:tc>
          <w:tcPr>
            <w:tcW w:w="1276" w:type="dxa"/>
          </w:tcPr>
          <w:p w:rsidR="00DE17D1" w:rsidRDefault="00DE17D1" w:rsidP="00585919">
            <w:r>
              <w:t>30</w:t>
            </w:r>
          </w:p>
        </w:tc>
        <w:tc>
          <w:tcPr>
            <w:tcW w:w="1284" w:type="dxa"/>
          </w:tcPr>
          <w:p w:rsidR="00DE17D1" w:rsidRDefault="00DE17D1" w:rsidP="00585919">
            <w:r>
              <w:t>20</w:t>
            </w:r>
          </w:p>
        </w:tc>
      </w:tr>
      <w:tr w:rsidR="00DE17D1" w:rsidTr="00DE17D1">
        <w:tc>
          <w:tcPr>
            <w:tcW w:w="4503" w:type="dxa"/>
          </w:tcPr>
          <w:p w:rsidR="00DE17D1" w:rsidRDefault="00DE17D1" w:rsidP="002235E5">
            <w:r>
              <w:t>Max search radius</w:t>
            </w:r>
          </w:p>
        </w:tc>
        <w:tc>
          <w:tcPr>
            <w:tcW w:w="1275" w:type="dxa"/>
          </w:tcPr>
          <w:p w:rsidR="00DE17D1" w:rsidRDefault="00DE17D1" w:rsidP="002235E5">
            <w:r>
              <w:t>50</w:t>
            </w:r>
          </w:p>
        </w:tc>
        <w:tc>
          <w:tcPr>
            <w:tcW w:w="1276" w:type="dxa"/>
          </w:tcPr>
          <w:p w:rsidR="00DE17D1" w:rsidRDefault="00DE17D1" w:rsidP="00585919">
            <w:r>
              <w:t>100</w:t>
            </w:r>
          </w:p>
        </w:tc>
        <w:tc>
          <w:tcPr>
            <w:tcW w:w="1284" w:type="dxa"/>
          </w:tcPr>
          <w:p w:rsidR="00DE17D1" w:rsidRDefault="00DE17D1" w:rsidP="00585919">
            <w:r>
              <w:t>200</w:t>
            </w:r>
          </w:p>
        </w:tc>
      </w:tr>
      <w:tr w:rsidR="00DE17D1" w:rsidTr="00DE17D1">
        <w:tc>
          <w:tcPr>
            <w:tcW w:w="4503" w:type="dxa"/>
          </w:tcPr>
          <w:p w:rsidR="00DE17D1" w:rsidRDefault="00DE17D1" w:rsidP="002235E5">
            <w:r>
              <w:t>Max vertical search distance</w:t>
            </w:r>
          </w:p>
        </w:tc>
        <w:tc>
          <w:tcPr>
            <w:tcW w:w="1275" w:type="dxa"/>
          </w:tcPr>
          <w:p w:rsidR="00DE17D1" w:rsidRDefault="00DE17D1" w:rsidP="002235E5">
            <w:r>
              <w:t>10</w:t>
            </w:r>
          </w:p>
        </w:tc>
        <w:tc>
          <w:tcPr>
            <w:tcW w:w="1276" w:type="dxa"/>
          </w:tcPr>
          <w:p w:rsidR="00DE17D1" w:rsidRDefault="00DE17D1" w:rsidP="00585919">
            <w:r>
              <w:t>20</w:t>
            </w:r>
          </w:p>
        </w:tc>
        <w:tc>
          <w:tcPr>
            <w:tcW w:w="1284" w:type="dxa"/>
          </w:tcPr>
          <w:p w:rsidR="00DE17D1" w:rsidRDefault="00BE3B77" w:rsidP="00585919">
            <w:r>
              <w:t>100</w:t>
            </w:r>
          </w:p>
        </w:tc>
      </w:tr>
      <w:tr w:rsidR="00DE17D1" w:rsidTr="00DE17D1">
        <w:tc>
          <w:tcPr>
            <w:tcW w:w="4503" w:type="dxa"/>
          </w:tcPr>
          <w:p w:rsidR="00DE17D1" w:rsidRDefault="00DE17D1" w:rsidP="00DE17D1">
            <w:r>
              <w:t>Search ellipsoid bearing</w:t>
            </w:r>
          </w:p>
        </w:tc>
        <w:tc>
          <w:tcPr>
            <w:tcW w:w="1275" w:type="dxa"/>
          </w:tcPr>
          <w:p w:rsidR="00DE17D1" w:rsidRDefault="00DE17D1" w:rsidP="002235E5">
            <w:r>
              <w:t>160</w:t>
            </w:r>
          </w:p>
        </w:tc>
        <w:tc>
          <w:tcPr>
            <w:tcW w:w="1276" w:type="dxa"/>
          </w:tcPr>
          <w:p w:rsidR="00DE17D1" w:rsidRDefault="00DE17D1" w:rsidP="00585919">
            <w:r>
              <w:t>160</w:t>
            </w:r>
          </w:p>
        </w:tc>
        <w:tc>
          <w:tcPr>
            <w:tcW w:w="1284" w:type="dxa"/>
          </w:tcPr>
          <w:p w:rsidR="00DE17D1" w:rsidRDefault="00DE17D1" w:rsidP="00585919">
            <w:r>
              <w:t>160</w:t>
            </w:r>
          </w:p>
        </w:tc>
      </w:tr>
      <w:tr w:rsidR="00DE17D1" w:rsidTr="00DE17D1">
        <w:tc>
          <w:tcPr>
            <w:tcW w:w="4503" w:type="dxa"/>
          </w:tcPr>
          <w:p w:rsidR="00DE17D1" w:rsidRDefault="00DE17D1" w:rsidP="00DE17D1">
            <w:r>
              <w:t>Search ellipsoid plunge</w:t>
            </w:r>
          </w:p>
        </w:tc>
        <w:tc>
          <w:tcPr>
            <w:tcW w:w="1275" w:type="dxa"/>
          </w:tcPr>
          <w:p w:rsidR="00DE17D1" w:rsidRDefault="00DE17D1" w:rsidP="002235E5">
            <w:r>
              <w:t>-30</w:t>
            </w:r>
          </w:p>
        </w:tc>
        <w:tc>
          <w:tcPr>
            <w:tcW w:w="1276" w:type="dxa"/>
          </w:tcPr>
          <w:p w:rsidR="00DE17D1" w:rsidRDefault="00DE17D1" w:rsidP="00585919">
            <w:r>
              <w:t>-30</w:t>
            </w:r>
          </w:p>
        </w:tc>
        <w:tc>
          <w:tcPr>
            <w:tcW w:w="1284" w:type="dxa"/>
          </w:tcPr>
          <w:p w:rsidR="00DE17D1" w:rsidRDefault="00DE17D1" w:rsidP="00585919">
            <w:r>
              <w:t>-30</w:t>
            </w:r>
          </w:p>
        </w:tc>
      </w:tr>
      <w:tr w:rsidR="00DE17D1" w:rsidTr="00DE17D1">
        <w:tc>
          <w:tcPr>
            <w:tcW w:w="4503" w:type="dxa"/>
          </w:tcPr>
          <w:p w:rsidR="00DE17D1" w:rsidRDefault="00DE17D1" w:rsidP="00DE17D1">
            <w:r>
              <w:t>Search ellipsoid dip</w:t>
            </w:r>
          </w:p>
        </w:tc>
        <w:tc>
          <w:tcPr>
            <w:tcW w:w="1275" w:type="dxa"/>
          </w:tcPr>
          <w:p w:rsidR="00DE17D1" w:rsidRDefault="00DE17D1" w:rsidP="002235E5">
            <w:r>
              <w:t>0</w:t>
            </w:r>
          </w:p>
        </w:tc>
        <w:tc>
          <w:tcPr>
            <w:tcW w:w="1276" w:type="dxa"/>
          </w:tcPr>
          <w:p w:rsidR="00DE17D1" w:rsidRDefault="00DE17D1" w:rsidP="00585919">
            <w:r>
              <w:t>0</w:t>
            </w:r>
          </w:p>
        </w:tc>
        <w:tc>
          <w:tcPr>
            <w:tcW w:w="1284" w:type="dxa"/>
          </w:tcPr>
          <w:p w:rsidR="00DE17D1" w:rsidRDefault="00DE17D1" w:rsidP="00585919">
            <w:r>
              <w:t>0</w:t>
            </w:r>
          </w:p>
        </w:tc>
      </w:tr>
      <w:tr w:rsidR="00DE17D1" w:rsidTr="00DE17D1">
        <w:tc>
          <w:tcPr>
            <w:tcW w:w="4503" w:type="dxa"/>
          </w:tcPr>
          <w:p w:rsidR="00DE17D1" w:rsidRDefault="00DE17D1" w:rsidP="002235E5">
            <w:r>
              <w:t>Ellipsoid Major/semi-major</w:t>
            </w:r>
          </w:p>
        </w:tc>
        <w:tc>
          <w:tcPr>
            <w:tcW w:w="1275" w:type="dxa"/>
          </w:tcPr>
          <w:p w:rsidR="00DE17D1" w:rsidRDefault="00DE17D1" w:rsidP="002235E5">
            <w:r>
              <w:t>2</w:t>
            </w:r>
          </w:p>
        </w:tc>
        <w:tc>
          <w:tcPr>
            <w:tcW w:w="1276" w:type="dxa"/>
          </w:tcPr>
          <w:p w:rsidR="00DE17D1" w:rsidRDefault="00DE17D1" w:rsidP="00585919">
            <w:r>
              <w:t>2</w:t>
            </w:r>
          </w:p>
        </w:tc>
        <w:tc>
          <w:tcPr>
            <w:tcW w:w="1284" w:type="dxa"/>
          </w:tcPr>
          <w:p w:rsidR="00DE17D1" w:rsidRDefault="00DE17D1" w:rsidP="00585919">
            <w:r>
              <w:t>2</w:t>
            </w:r>
          </w:p>
        </w:tc>
      </w:tr>
      <w:tr w:rsidR="00DE17D1" w:rsidTr="00DE17D1">
        <w:tc>
          <w:tcPr>
            <w:tcW w:w="4503" w:type="dxa"/>
          </w:tcPr>
          <w:p w:rsidR="00DE17D1" w:rsidRDefault="00DE17D1" w:rsidP="007D11D5">
            <w:r>
              <w:t>Ellipsoid Major/minor</w:t>
            </w:r>
          </w:p>
        </w:tc>
        <w:tc>
          <w:tcPr>
            <w:tcW w:w="1275" w:type="dxa"/>
          </w:tcPr>
          <w:p w:rsidR="00DE17D1" w:rsidRDefault="00DE17D1" w:rsidP="002235E5">
            <w:r>
              <w:t>4</w:t>
            </w:r>
          </w:p>
        </w:tc>
        <w:tc>
          <w:tcPr>
            <w:tcW w:w="1276" w:type="dxa"/>
          </w:tcPr>
          <w:p w:rsidR="00DE17D1" w:rsidRDefault="00DE17D1" w:rsidP="00585919">
            <w:r>
              <w:t>4</w:t>
            </w:r>
          </w:p>
        </w:tc>
        <w:tc>
          <w:tcPr>
            <w:tcW w:w="1284" w:type="dxa"/>
          </w:tcPr>
          <w:p w:rsidR="00DE17D1" w:rsidRDefault="00DE17D1" w:rsidP="00585919">
            <w:r>
              <w:t>4</w:t>
            </w:r>
          </w:p>
        </w:tc>
      </w:tr>
    </w:tbl>
    <w:p w:rsidR="00A00511" w:rsidRDefault="00A00511" w:rsidP="002235E5"/>
    <w:p w:rsidR="00DE17D1" w:rsidRDefault="00DE17D1" w:rsidP="00DE17D1">
      <w:pPr>
        <w:pStyle w:val="Heading3"/>
      </w:pPr>
      <w:r>
        <w:t>Bulk density</w:t>
      </w:r>
    </w:p>
    <w:p w:rsidR="00DE17D1" w:rsidRDefault="00DE17D1" w:rsidP="00DE17D1">
      <w:r>
        <w:t xml:space="preserve">Bulk density was estimated using Pass 3 Cu grade </w:t>
      </w:r>
      <w:r w:rsidR="004719B0">
        <w:t xml:space="preserve">search </w:t>
      </w:r>
      <w:r>
        <w:t xml:space="preserve">parameters.  As the bulk densities measured for the clays has </w:t>
      </w:r>
      <w:r w:rsidR="004719B0">
        <w:t xml:space="preserve">varied dramatically in past studies </w:t>
      </w:r>
      <w:r>
        <w:t xml:space="preserve">(from </w:t>
      </w:r>
      <w:r w:rsidR="00033042">
        <w:t>1.9 t/m</w:t>
      </w:r>
      <w:r w:rsidR="00033042">
        <w:rPr>
          <w:vertAlign w:val="superscript"/>
        </w:rPr>
        <w:t>3</w:t>
      </w:r>
      <w:r w:rsidR="00033042">
        <w:t xml:space="preserve"> to 2.6 t/m</w:t>
      </w:r>
      <w:r w:rsidR="00033042">
        <w:rPr>
          <w:vertAlign w:val="superscript"/>
        </w:rPr>
        <w:t>3</w:t>
      </w:r>
      <w:r w:rsidR="00033042">
        <w:t>), two tonnage calculations will be made when stating the resource.  The first will be the estimated value by inverse distance squared and the second will be the value AMC assigned (2.2 t/m</w:t>
      </w:r>
      <w:r w:rsidR="00033042">
        <w:rPr>
          <w:vertAlign w:val="superscript"/>
        </w:rPr>
        <w:t>3</w:t>
      </w:r>
      <w:r w:rsidR="00033042">
        <w:t>) in the 2008 scoping study.</w:t>
      </w:r>
    </w:p>
    <w:p w:rsidR="00BE0895" w:rsidRDefault="00BE0895" w:rsidP="00033042">
      <w:pPr>
        <w:pStyle w:val="Heading2"/>
      </w:pPr>
    </w:p>
    <w:p w:rsidR="00033042" w:rsidRDefault="00033042" w:rsidP="00033042">
      <w:pPr>
        <w:pStyle w:val="Heading2"/>
      </w:pPr>
      <w:r>
        <w:lastRenderedPageBreak/>
        <w:t>Results</w:t>
      </w:r>
    </w:p>
    <w:p w:rsidR="00E34B0E" w:rsidRDefault="00E34B0E" w:rsidP="00E34B0E">
      <w:pPr>
        <w:spacing w:after="0" w:line="240" w:lineRule="auto"/>
      </w:pPr>
      <w:r>
        <w:t xml:space="preserve">Pass 3 model is the only model that completely fills the mineralised wireframe with grade (Figure 7).  It is expected that the Pass 3 model be accurate for volume, but slightly overestimate grade due to the extrapolation of high grades in northern most drill-holes.   </w:t>
      </w:r>
    </w:p>
    <w:p w:rsidR="00E34B0E" w:rsidRDefault="00E34B0E" w:rsidP="00E34B0E">
      <w:pPr>
        <w:spacing w:after="0" w:line="240" w:lineRule="auto"/>
      </w:pPr>
      <w:r>
        <w:t>It is reasonable to assume that Pass 1 represents an inferred resource.</w:t>
      </w:r>
      <w:r w:rsidRPr="00E34B0E">
        <w:rPr>
          <w:noProof/>
          <w:lang w:eastAsia="en-AU"/>
        </w:rPr>
        <w:t xml:space="preserve"> </w:t>
      </w:r>
      <w:r>
        <w:rPr>
          <w:noProof/>
          <w:lang w:eastAsia="en-AU"/>
        </w:rPr>
        <w:drawing>
          <wp:inline distT="0" distB="0" distL="0" distR="0" wp14:anchorId="2ED72C20" wp14:editId="0FC49DF2">
            <wp:extent cx="5751912" cy="2170706"/>
            <wp:effectExtent l="0" t="0" r="127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scomparison.png"/>
                    <pic:cNvPicPr/>
                  </pic:nvPicPr>
                  <pic:blipFill rotWithShape="1">
                    <a:blip r:embed="rId15" cstate="print">
                      <a:extLst>
                        <a:ext uri="{28A0092B-C50C-407E-A947-70E740481C1C}">
                          <a14:useLocalDpi xmlns:a14="http://schemas.microsoft.com/office/drawing/2010/main" val="0"/>
                        </a:ext>
                      </a:extLst>
                    </a:blip>
                    <a:srcRect l="4167" t="7269" r="8610" b="46169"/>
                    <a:stretch/>
                  </pic:blipFill>
                  <pic:spPr bwMode="auto">
                    <a:xfrm>
                      <a:off x="0" y="0"/>
                      <a:ext cx="5758624" cy="2173239"/>
                    </a:xfrm>
                    <a:prstGeom prst="rect">
                      <a:avLst/>
                    </a:prstGeom>
                    <a:ln>
                      <a:noFill/>
                    </a:ln>
                    <a:extLst>
                      <a:ext uri="{53640926-AAD7-44D8-BBD7-CCE9431645EC}">
                        <a14:shadowObscured xmlns:a14="http://schemas.microsoft.com/office/drawing/2010/main"/>
                      </a:ext>
                    </a:extLst>
                  </pic:spPr>
                </pic:pic>
              </a:graphicData>
            </a:graphic>
          </wp:inline>
        </w:drawing>
      </w:r>
    </w:p>
    <w:p w:rsidR="00E34B0E" w:rsidRDefault="00E34B0E" w:rsidP="00E34B0E">
      <w:pPr>
        <w:pStyle w:val="Caption"/>
      </w:pPr>
      <w:r>
        <w:t xml:space="preserve">Figure </w:t>
      </w:r>
      <w:r w:rsidR="00EE6194">
        <w:fldChar w:fldCharType="begin"/>
      </w:r>
      <w:r w:rsidR="00EE6194">
        <w:instrText xml:space="preserve"> SEQ Figure \* ARABIC </w:instrText>
      </w:r>
      <w:r w:rsidR="00EE6194">
        <w:fldChar w:fldCharType="separate"/>
      </w:r>
      <w:r w:rsidR="00585919">
        <w:rPr>
          <w:noProof/>
        </w:rPr>
        <w:t>6</w:t>
      </w:r>
      <w:r w:rsidR="00EE6194">
        <w:rPr>
          <w:noProof/>
        </w:rPr>
        <w:fldChar w:fldCharType="end"/>
      </w:r>
      <w:r>
        <w:t>. Plan view of results of Pass 1</w:t>
      </w:r>
      <w:r w:rsidR="002829DC">
        <w:t>, 2</w:t>
      </w:r>
      <w:r>
        <w:t xml:space="preserve"> and 3 search parameters.  Drill-hole collars in white.</w:t>
      </w:r>
      <w:r w:rsidR="00B23358">
        <w:t xml:space="preserve">  Inset </w:t>
      </w:r>
      <w:r w:rsidR="002829DC">
        <w:t>- copper</w:t>
      </w:r>
      <w:r w:rsidR="00B23358">
        <w:t xml:space="preserve"> grade legend.</w:t>
      </w:r>
    </w:p>
    <w:p w:rsidR="00646C05" w:rsidRPr="00646C05" w:rsidRDefault="00646C05" w:rsidP="00E34B0E">
      <w:pPr>
        <w:spacing w:after="0"/>
      </w:pPr>
      <w:r>
        <w:t>The global resources (inside mineralised wireframe</w:t>
      </w:r>
      <w:r w:rsidR="009E44CD">
        <w:t xml:space="preserve">, </w:t>
      </w:r>
      <w:r w:rsidR="004719B0">
        <w:t xml:space="preserve">0.01 % Cu </w:t>
      </w:r>
      <w:r w:rsidR="002829DC">
        <w:t>cut-off</w:t>
      </w:r>
      <w:r w:rsidR="00E34B0E">
        <w:t>) are as follows:</w:t>
      </w:r>
    </w:p>
    <w:tbl>
      <w:tblPr>
        <w:tblStyle w:val="TableGrid"/>
        <w:tblW w:w="0" w:type="auto"/>
        <w:tblLook w:val="04A0" w:firstRow="1" w:lastRow="0" w:firstColumn="1" w:lastColumn="0" w:noHBand="0" w:noVBand="1"/>
      </w:tblPr>
      <w:tblGrid>
        <w:gridCol w:w="1320"/>
        <w:gridCol w:w="1320"/>
        <w:gridCol w:w="1320"/>
        <w:gridCol w:w="1320"/>
        <w:gridCol w:w="1320"/>
        <w:gridCol w:w="1321"/>
        <w:gridCol w:w="1321"/>
      </w:tblGrid>
      <w:tr w:rsidR="00033042" w:rsidTr="00585919">
        <w:tc>
          <w:tcPr>
            <w:tcW w:w="1320" w:type="dxa"/>
          </w:tcPr>
          <w:p w:rsidR="00033042" w:rsidRDefault="00033042" w:rsidP="00033042"/>
        </w:tc>
        <w:tc>
          <w:tcPr>
            <w:tcW w:w="3960" w:type="dxa"/>
            <w:gridSpan w:val="3"/>
          </w:tcPr>
          <w:p w:rsidR="00033042" w:rsidRDefault="00033042" w:rsidP="009A5BF8">
            <w:pPr>
              <w:jc w:val="center"/>
            </w:pPr>
            <w:r>
              <w:t>Interpolated density</w:t>
            </w:r>
            <w:r w:rsidR="002E05CB">
              <w:t xml:space="preserve"> model</w:t>
            </w:r>
          </w:p>
        </w:tc>
        <w:tc>
          <w:tcPr>
            <w:tcW w:w="3962" w:type="dxa"/>
            <w:gridSpan w:val="3"/>
          </w:tcPr>
          <w:p w:rsidR="00033042" w:rsidRPr="00033042" w:rsidRDefault="00033042" w:rsidP="009A5BF8">
            <w:pPr>
              <w:jc w:val="center"/>
            </w:pPr>
            <w:r>
              <w:t>AMC density (2.2 t/m</w:t>
            </w:r>
            <w:r>
              <w:rPr>
                <w:vertAlign w:val="superscript"/>
              </w:rPr>
              <w:t>3</w:t>
            </w:r>
            <w:r>
              <w:t>)</w:t>
            </w:r>
          </w:p>
        </w:tc>
      </w:tr>
      <w:tr w:rsidR="00033042" w:rsidTr="00033042">
        <w:tc>
          <w:tcPr>
            <w:tcW w:w="1320" w:type="dxa"/>
          </w:tcPr>
          <w:p w:rsidR="00033042" w:rsidRDefault="00033042" w:rsidP="00033042"/>
        </w:tc>
        <w:tc>
          <w:tcPr>
            <w:tcW w:w="1320" w:type="dxa"/>
          </w:tcPr>
          <w:p w:rsidR="00033042" w:rsidRPr="009A5BF8" w:rsidRDefault="00033042" w:rsidP="009A5BF8">
            <w:pPr>
              <w:jc w:val="center"/>
              <w:rPr>
                <w:b/>
              </w:rPr>
            </w:pPr>
            <w:r w:rsidRPr="009A5BF8">
              <w:rPr>
                <w:b/>
              </w:rPr>
              <w:t>Tonnes</w:t>
            </w:r>
          </w:p>
        </w:tc>
        <w:tc>
          <w:tcPr>
            <w:tcW w:w="1320" w:type="dxa"/>
          </w:tcPr>
          <w:p w:rsidR="00033042" w:rsidRPr="009A5BF8" w:rsidRDefault="00033042" w:rsidP="009A5BF8">
            <w:pPr>
              <w:jc w:val="center"/>
              <w:rPr>
                <w:b/>
              </w:rPr>
            </w:pPr>
            <w:r w:rsidRPr="009A5BF8">
              <w:rPr>
                <w:b/>
              </w:rPr>
              <w:t>Cu %</w:t>
            </w:r>
          </w:p>
        </w:tc>
        <w:tc>
          <w:tcPr>
            <w:tcW w:w="1320" w:type="dxa"/>
          </w:tcPr>
          <w:p w:rsidR="00033042" w:rsidRPr="009A5BF8" w:rsidRDefault="00033042" w:rsidP="009A5BF8">
            <w:pPr>
              <w:jc w:val="center"/>
              <w:rPr>
                <w:b/>
              </w:rPr>
            </w:pPr>
            <w:r w:rsidRPr="009A5BF8">
              <w:rPr>
                <w:b/>
              </w:rPr>
              <w:t>Cont Cu</w:t>
            </w:r>
            <w:r w:rsidR="009E2D67">
              <w:rPr>
                <w:b/>
              </w:rPr>
              <w:t xml:space="preserve"> (t)</w:t>
            </w:r>
          </w:p>
        </w:tc>
        <w:tc>
          <w:tcPr>
            <w:tcW w:w="1320" w:type="dxa"/>
          </w:tcPr>
          <w:p w:rsidR="00033042" w:rsidRPr="009A5BF8" w:rsidRDefault="00033042" w:rsidP="009A5BF8">
            <w:pPr>
              <w:jc w:val="center"/>
              <w:rPr>
                <w:b/>
              </w:rPr>
            </w:pPr>
            <w:r w:rsidRPr="009A5BF8">
              <w:rPr>
                <w:b/>
              </w:rPr>
              <w:t>Tonnes</w:t>
            </w:r>
          </w:p>
        </w:tc>
        <w:tc>
          <w:tcPr>
            <w:tcW w:w="1321" w:type="dxa"/>
          </w:tcPr>
          <w:p w:rsidR="00033042" w:rsidRPr="009A5BF8" w:rsidRDefault="00033042" w:rsidP="009A5BF8">
            <w:pPr>
              <w:jc w:val="center"/>
              <w:rPr>
                <w:b/>
              </w:rPr>
            </w:pPr>
            <w:r w:rsidRPr="009A5BF8">
              <w:rPr>
                <w:b/>
              </w:rPr>
              <w:t>Cu %</w:t>
            </w:r>
          </w:p>
        </w:tc>
        <w:tc>
          <w:tcPr>
            <w:tcW w:w="1321" w:type="dxa"/>
          </w:tcPr>
          <w:p w:rsidR="00033042" w:rsidRPr="009A5BF8" w:rsidRDefault="00033042" w:rsidP="009A5BF8">
            <w:pPr>
              <w:jc w:val="center"/>
              <w:rPr>
                <w:b/>
              </w:rPr>
            </w:pPr>
            <w:r w:rsidRPr="009A5BF8">
              <w:rPr>
                <w:b/>
              </w:rPr>
              <w:t>Cont Cu</w:t>
            </w:r>
            <w:r w:rsidR="009E2D67">
              <w:rPr>
                <w:b/>
              </w:rPr>
              <w:t xml:space="preserve"> (t)</w:t>
            </w:r>
          </w:p>
        </w:tc>
      </w:tr>
      <w:tr w:rsidR="00D57FAD" w:rsidTr="00585919">
        <w:tc>
          <w:tcPr>
            <w:tcW w:w="1320" w:type="dxa"/>
          </w:tcPr>
          <w:p w:rsidR="00D57FAD" w:rsidRPr="009A5BF8" w:rsidRDefault="00D57FAD" w:rsidP="00033042">
            <w:pPr>
              <w:rPr>
                <w:b/>
              </w:rPr>
            </w:pPr>
            <w:r w:rsidRPr="009A5BF8">
              <w:rPr>
                <w:b/>
              </w:rPr>
              <w:t>Pass 1</w:t>
            </w:r>
          </w:p>
        </w:tc>
        <w:tc>
          <w:tcPr>
            <w:tcW w:w="1320" w:type="dxa"/>
          </w:tcPr>
          <w:p w:rsidR="00D57FAD" w:rsidRDefault="00D57FAD" w:rsidP="009A5BF8">
            <w:pPr>
              <w:jc w:val="center"/>
            </w:pPr>
            <w:r>
              <w:t>320,134</w:t>
            </w:r>
          </w:p>
        </w:tc>
        <w:tc>
          <w:tcPr>
            <w:tcW w:w="1320" w:type="dxa"/>
          </w:tcPr>
          <w:p w:rsidR="00D57FAD" w:rsidRDefault="00D57FAD" w:rsidP="009A5BF8">
            <w:pPr>
              <w:jc w:val="center"/>
            </w:pPr>
            <w:r>
              <w:t>0.82</w:t>
            </w:r>
          </w:p>
        </w:tc>
        <w:tc>
          <w:tcPr>
            <w:tcW w:w="1320" w:type="dxa"/>
            <w:vAlign w:val="center"/>
          </w:tcPr>
          <w:p w:rsidR="00D57FAD" w:rsidRDefault="00D57FAD">
            <w:pPr>
              <w:jc w:val="center"/>
              <w:rPr>
                <w:rFonts w:ascii="Calibri" w:hAnsi="Calibri"/>
                <w:color w:val="000000"/>
              </w:rPr>
            </w:pPr>
            <w:r>
              <w:rPr>
                <w:rFonts w:ascii="Calibri" w:hAnsi="Calibri"/>
                <w:color w:val="000000"/>
              </w:rPr>
              <w:t>2625</w:t>
            </w:r>
          </w:p>
        </w:tc>
        <w:tc>
          <w:tcPr>
            <w:tcW w:w="1320" w:type="dxa"/>
          </w:tcPr>
          <w:p w:rsidR="00D57FAD" w:rsidRDefault="00D57FAD" w:rsidP="009A5BF8">
            <w:pPr>
              <w:jc w:val="center"/>
            </w:pPr>
            <w:r>
              <w:t>230,890</w:t>
            </w:r>
          </w:p>
        </w:tc>
        <w:tc>
          <w:tcPr>
            <w:tcW w:w="1321" w:type="dxa"/>
          </w:tcPr>
          <w:p w:rsidR="00D57FAD" w:rsidRDefault="00D57FAD" w:rsidP="009A5BF8">
            <w:pPr>
              <w:jc w:val="center"/>
            </w:pPr>
            <w:r>
              <w:t>0.82</w:t>
            </w:r>
          </w:p>
        </w:tc>
        <w:tc>
          <w:tcPr>
            <w:tcW w:w="1321" w:type="dxa"/>
            <w:vAlign w:val="center"/>
          </w:tcPr>
          <w:p w:rsidR="00D57FAD" w:rsidRDefault="00D57FAD">
            <w:pPr>
              <w:jc w:val="center"/>
              <w:rPr>
                <w:rFonts w:ascii="Calibri" w:hAnsi="Calibri"/>
                <w:color w:val="000000"/>
              </w:rPr>
            </w:pPr>
            <w:r>
              <w:rPr>
                <w:rFonts w:ascii="Calibri" w:hAnsi="Calibri"/>
                <w:color w:val="000000"/>
              </w:rPr>
              <w:t>1893</w:t>
            </w:r>
          </w:p>
        </w:tc>
      </w:tr>
      <w:tr w:rsidR="00D57FAD" w:rsidTr="00585919">
        <w:tc>
          <w:tcPr>
            <w:tcW w:w="1320" w:type="dxa"/>
          </w:tcPr>
          <w:p w:rsidR="00D57FAD" w:rsidRPr="009A5BF8" w:rsidRDefault="00D57FAD" w:rsidP="00033042">
            <w:pPr>
              <w:rPr>
                <w:b/>
              </w:rPr>
            </w:pPr>
            <w:r w:rsidRPr="009A5BF8">
              <w:rPr>
                <w:b/>
              </w:rPr>
              <w:t>Pass 2</w:t>
            </w:r>
          </w:p>
        </w:tc>
        <w:tc>
          <w:tcPr>
            <w:tcW w:w="1320" w:type="dxa"/>
          </w:tcPr>
          <w:p w:rsidR="00D57FAD" w:rsidRDefault="00D57FAD" w:rsidP="009A5BF8">
            <w:pPr>
              <w:jc w:val="center"/>
            </w:pPr>
            <w:r>
              <w:t>379,622</w:t>
            </w:r>
          </w:p>
        </w:tc>
        <w:tc>
          <w:tcPr>
            <w:tcW w:w="1320" w:type="dxa"/>
          </w:tcPr>
          <w:p w:rsidR="00D57FAD" w:rsidRDefault="00D57FAD" w:rsidP="009A5BF8">
            <w:pPr>
              <w:jc w:val="center"/>
            </w:pPr>
            <w:r>
              <w:t>0.85</w:t>
            </w:r>
          </w:p>
        </w:tc>
        <w:tc>
          <w:tcPr>
            <w:tcW w:w="1320" w:type="dxa"/>
            <w:vAlign w:val="center"/>
          </w:tcPr>
          <w:p w:rsidR="00D57FAD" w:rsidRDefault="00D57FAD">
            <w:pPr>
              <w:jc w:val="center"/>
              <w:rPr>
                <w:rFonts w:ascii="Calibri" w:hAnsi="Calibri"/>
                <w:color w:val="000000"/>
              </w:rPr>
            </w:pPr>
            <w:r>
              <w:rPr>
                <w:rFonts w:ascii="Calibri" w:hAnsi="Calibri"/>
                <w:color w:val="000000"/>
              </w:rPr>
              <w:t>3226</w:t>
            </w:r>
          </w:p>
        </w:tc>
        <w:tc>
          <w:tcPr>
            <w:tcW w:w="1320" w:type="dxa"/>
          </w:tcPr>
          <w:p w:rsidR="00D57FAD" w:rsidRDefault="00D57FAD" w:rsidP="009A5BF8">
            <w:pPr>
              <w:jc w:val="center"/>
            </w:pPr>
            <w:r>
              <w:t>272,250</w:t>
            </w:r>
          </w:p>
        </w:tc>
        <w:tc>
          <w:tcPr>
            <w:tcW w:w="1321" w:type="dxa"/>
          </w:tcPr>
          <w:p w:rsidR="00D57FAD" w:rsidRDefault="00D57FAD" w:rsidP="009A5BF8">
            <w:pPr>
              <w:jc w:val="center"/>
            </w:pPr>
            <w:r>
              <w:t>0.84</w:t>
            </w:r>
          </w:p>
        </w:tc>
        <w:tc>
          <w:tcPr>
            <w:tcW w:w="1321" w:type="dxa"/>
            <w:vAlign w:val="center"/>
          </w:tcPr>
          <w:p w:rsidR="00D57FAD" w:rsidRDefault="00D57FAD">
            <w:pPr>
              <w:jc w:val="center"/>
              <w:rPr>
                <w:rFonts w:ascii="Calibri" w:hAnsi="Calibri"/>
                <w:color w:val="000000"/>
              </w:rPr>
            </w:pPr>
            <w:r>
              <w:rPr>
                <w:rFonts w:ascii="Calibri" w:hAnsi="Calibri"/>
                <w:color w:val="000000"/>
              </w:rPr>
              <w:t>2286</w:t>
            </w:r>
          </w:p>
        </w:tc>
      </w:tr>
      <w:tr w:rsidR="00D57FAD" w:rsidTr="00585919">
        <w:tc>
          <w:tcPr>
            <w:tcW w:w="1320" w:type="dxa"/>
          </w:tcPr>
          <w:p w:rsidR="00D57FAD" w:rsidRPr="009A5BF8" w:rsidRDefault="00D57FAD" w:rsidP="00033042">
            <w:pPr>
              <w:rPr>
                <w:b/>
              </w:rPr>
            </w:pPr>
            <w:r w:rsidRPr="009A5BF8">
              <w:rPr>
                <w:b/>
              </w:rPr>
              <w:t>Pass 3</w:t>
            </w:r>
          </w:p>
        </w:tc>
        <w:tc>
          <w:tcPr>
            <w:tcW w:w="1320" w:type="dxa"/>
          </w:tcPr>
          <w:p w:rsidR="00D57FAD" w:rsidRDefault="00D57FAD" w:rsidP="009A5BF8">
            <w:pPr>
              <w:jc w:val="center"/>
            </w:pPr>
            <w:r>
              <w:t>402,134</w:t>
            </w:r>
          </w:p>
        </w:tc>
        <w:tc>
          <w:tcPr>
            <w:tcW w:w="1320" w:type="dxa"/>
          </w:tcPr>
          <w:p w:rsidR="00D57FAD" w:rsidRDefault="00D57FAD" w:rsidP="009A5BF8">
            <w:pPr>
              <w:jc w:val="center"/>
            </w:pPr>
            <w:r>
              <w:t>0.91</w:t>
            </w:r>
          </w:p>
        </w:tc>
        <w:tc>
          <w:tcPr>
            <w:tcW w:w="1320" w:type="dxa"/>
            <w:vAlign w:val="center"/>
          </w:tcPr>
          <w:p w:rsidR="00D57FAD" w:rsidRDefault="00D57FAD">
            <w:pPr>
              <w:jc w:val="center"/>
              <w:rPr>
                <w:rFonts w:ascii="Calibri" w:hAnsi="Calibri"/>
                <w:color w:val="000000"/>
              </w:rPr>
            </w:pPr>
            <w:r>
              <w:rPr>
                <w:rFonts w:ascii="Calibri" w:hAnsi="Calibri"/>
                <w:color w:val="000000"/>
              </w:rPr>
              <w:t>3659</w:t>
            </w:r>
          </w:p>
        </w:tc>
        <w:tc>
          <w:tcPr>
            <w:tcW w:w="1320" w:type="dxa"/>
          </w:tcPr>
          <w:p w:rsidR="00D57FAD" w:rsidRDefault="00D57FAD" w:rsidP="009A5BF8">
            <w:pPr>
              <w:jc w:val="center"/>
            </w:pPr>
            <w:r>
              <w:t>287,870</w:t>
            </w:r>
          </w:p>
        </w:tc>
        <w:tc>
          <w:tcPr>
            <w:tcW w:w="1321" w:type="dxa"/>
          </w:tcPr>
          <w:p w:rsidR="00D57FAD" w:rsidRDefault="00D57FAD" w:rsidP="009A5BF8">
            <w:pPr>
              <w:jc w:val="center"/>
            </w:pPr>
            <w:r>
              <w:t>0.90</w:t>
            </w:r>
          </w:p>
        </w:tc>
        <w:tc>
          <w:tcPr>
            <w:tcW w:w="1321" w:type="dxa"/>
            <w:vAlign w:val="center"/>
          </w:tcPr>
          <w:p w:rsidR="00D57FAD" w:rsidRDefault="00D57FAD">
            <w:pPr>
              <w:jc w:val="center"/>
              <w:rPr>
                <w:rFonts w:ascii="Calibri" w:hAnsi="Calibri"/>
                <w:color w:val="000000"/>
              </w:rPr>
            </w:pPr>
            <w:r>
              <w:rPr>
                <w:rFonts w:ascii="Calibri" w:hAnsi="Calibri"/>
                <w:color w:val="000000"/>
              </w:rPr>
              <w:t>2590</w:t>
            </w:r>
          </w:p>
        </w:tc>
      </w:tr>
    </w:tbl>
    <w:p w:rsidR="00E34B0E" w:rsidRDefault="00E34B0E" w:rsidP="009A5BF8">
      <w:pPr>
        <w:spacing w:line="240" w:lineRule="auto"/>
      </w:pPr>
    </w:p>
    <w:p w:rsidR="009E2D67" w:rsidRDefault="009E2D67" w:rsidP="009E2D67">
      <w:pPr>
        <w:keepNext/>
        <w:spacing w:after="0" w:line="240" w:lineRule="auto"/>
      </w:pPr>
      <w:r>
        <w:rPr>
          <w:noProof/>
          <w:lang w:eastAsia="en-AU"/>
        </w:rPr>
        <w:drawing>
          <wp:inline distT="0" distB="0" distL="0" distR="0" wp14:anchorId="5D70225F" wp14:editId="31E3784B">
            <wp:extent cx="5756744" cy="3466769"/>
            <wp:effectExtent l="0" t="0" r="15875" b="1968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E2D67" w:rsidRDefault="009E2D67" w:rsidP="009E2D67">
      <w:pPr>
        <w:pStyle w:val="Caption"/>
      </w:pPr>
      <w:r>
        <w:t xml:space="preserve">Figure </w:t>
      </w:r>
      <w:r w:rsidR="00EE6194">
        <w:fldChar w:fldCharType="begin"/>
      </w:r>
      <w:r w:rsidR="00EE6194">
        <w:instrText xml:space="preserve"> SEQ Figure \* ARABIC </w:instrText>
      </w:r>
      <w:r w:rsidR="00EE6194">
        <w:fldChar w:fldCharType="separate"/>
      </w:r>
      <w:r w:rsidR="00585919">
        <w:rPr>
          <w:noProof/>
        </w:rPr>
        <w:t>7</w:t>
      </w:r>
      <w:r w:rsidR="00EE6194">
        <w:rPr>
          <w:noProof/>
        </w:rPr>
        <w:fldChar w:fldCharType="end"/>
      </w:r>
      <w:r>
        <w:t>. Grade-tonnage plot for Pass 3 search ellipse (Interpolated density values used).</w:t>
      </w:r>
    </w:p>
    <w:p w:rsidR="00FD4D2E" w:rsidRDefault="00FD4D2E" w:rsidP="00FD4D2E">
      <w:pPr>
        <w:pStyle w:val="Heading2"/>
      </w:pPr>
    </w:p>
    <w:p w:rsidR="009A5BF8" w:rsidRDefault="00FD4D2E" w:rsidP="00FD4D2E">
      <w:pPr>
        <w:pStyle w:val="Heading2"/>
      </w:pPr>
      <w:r>
        <w:lastRenderedPageBreak/>
        <w:t>Comparison with previous estimations</w:t>
      </w:r>
    </w:p>
    <w:p w:rsidR="00FD4D2E" w:rsidRDefault="006F0F3C" w:rsidP="00FD4D2E">
      <w:r>
        <w:t>Due to the results of the 2011 drilling programme, the tonnage of the King Lyell Clays deposit has been dramatically reduced</w:t>
      </w:r>
      <w:r w:rsidR="003077D0">
        <w:t xml:space="preserve"> (Table 2)</w:t>
      </w:r>
      <w:r>
        <w:t>.</w:t>
      </w:r>
    </w:p>
    <w:tbl>
      <w:tblPr>
        <w:tblStyle w:val="TableGrid"/>
        <w:tblW w:w="0" w:type="auto"/>
        <w:tblLook w:val="04A0" w:firstRow="1" w:lastRow="0" w:firstColumn="1" w:lastColumn="0" w:noHBand="0" w:noVBand="1"/>
      </w:tblPr>
      <w:tblGrid>
        <w:gridCol w:w="1305"/>
        <w:gridCol w:w="1308"/>
        <w:gridCol w:w="1375"/>
        <w:gridCol w:w="1334"/>
        <w:gridCol w:w="1309"/>
        <w:gridCol w:w="1307"/>
        <w:gridCol w:w="1304"/>
      </w:tblGrid>
      <w:tr w:rsidR="003262CA" w:rsidTr="003077D0">
        <w:tc>
          <w:tcPr>
            <w:tcW w:w="1305" w:type="dxa"/>
            <w:vAlign w:val="center"/>
          </w:tcPr>
          <w:p w:rsidR="003262CA" w:rsidRPr="003077D0" w:rsidRDefault="003262CA" w:rsidP="003077D0">
            <w:pPr>
              <w:jc w:val="center"/>
              <w:rPr>
                <w:b/>
              </w:rPr>
            </w:pPr>
            <w:r w:rsidRPr="003077D0">
              <w:rPr>
                <w:b/>
              </w:rPr>
              <w:t>Year</w:t>
            </w:r>
          </w:p>
        </w:tc>
        <w:tc>
          <w:tcPr>
            <w:tcW w:w="1308" w:type="dxa"/>
            <w:vAlign w:val="center"/>
          </w:tcPr>
          <w:p w:rsidR="003262CA" w:rsidRPr="003077D0" w:rsidRDefault="003262CA" w:rsidP="003077D0">
            <w:pPr>
              <w:jc w:val="center"/>
              <w:rPr>
                <w:b/>
              </w:rPr>
            </w:pPr>
            <w:r w:rsidRPr="003077D0">
              <w:rPr>
                <w:b/>
              </w:rPr>
              <w:t>Author</w:t>
            </w:r>
          </w:p>
        </w:tc>
        <w:tc>
          <w:tcPr>
            <w:tcW w:w="1375" w:type="dxa"/>
            <w:vAlign w:val="center"/>
          </w:tcPr>
          <w:p w:rsidR="003262CA" w:rsidRPr="003077D0" w:rsidRDefault="003077D0" w:rsidP="003077D0">
            <w:pPr>
              <w:jc w:val="center"/>
              <w:rPr>
                <w:b/>
              </w:rPr>
            </w:pPr>
            <w:r w:rsidRPr="003077D0">
              <w:rPr>
                <w:b/>
              </w:rPr>
              <w:t>Model type</w:t>
            </w:r>
          </w:p>
        </w:tc>
        <w:tc>
          <w:tcPr>
            <w:tcW w:w="1334" w:type="dxa"/>
            <w:vAlign w:val="center"/>
          </w:tcPr>
          <w:p w:rsidR="003262CA" w:rsidRPr="003077D0" w:rsidRDefault="003262CA" w:rsidP="003077D0">
            <w:pPr>
              <w:jc w:val="center"/>
              <w:rPr>
                <w:b/>
              </w:rPr>
            </w:pPr>
            <w:r w:rsidRPr="003077D0">
              <w:rPr>
                <w:b/>
              </w:rPr>
              <w:t>Density (t/m</w:t>
            </w:r>
            <w:r w:rsidRPr="003077D0">
              <w:rPr>
                <w:b/>
                <w:vertAlign w:val="superscript"/>
              </w:rPr>
              <w:t>3</w:t>
            </w:r>
            <w:r w:rsidRPr="003077D0">
              <w:rPr>
                <w:b/>
              </w:rPr>
              <w:t>)</w:t>
            </w:r>
          </w:p>
        </w:tc>
        <w:tc>
          <w:tcPr>
            <w:tcW w:w="1309" w:type="dxa"/>
            <w:vAlign w:val="center"/>
          </w:tcPr>
          <w:p w:rsidR="003262CA" w:rsidRPr="003077D0" w:rsidRDefault="003262CA" w:rsidP="003077D0">
            <w:pPr>
              <w:jc w:val="center"/>
              <w:rPr>
                <w:b/>
              </w:rPr>
            </w:pPr>
            <w:r w:rsidRPr="003077D0">
              <w:rPr>
                <w:b/>
              </w:rPr>
              <w:t>Tonnes (Mt)</w:t>
            </w:r>
          </w:p>
        </w:tc>
        <w:tc>
          <w:tcPr>
            <w:tcW w:w="1307" w:type="dxa"/>
            <w:vAlign w:val="center"/>
          </w:tcPr>
          <w:p w:rsidR="003262CA" w:rsidRPr="003077D0" w:rsidRDefault="003262CA" w:rsidP="003077D0">
            <w:pPr>
              <w:jc w:val="center"/>
              <w:rPr>
                <w:b/>
              </w:rPr>
            </w:pPr>
            <w:r w:rsidRPr="003077D0">
              <w:rPr>
                <w:b/>
              </w:rPr>
              <w:t>Grade (Cu%)</w:t>
            </w:r>
          </w:p>
        </w:tc>
        <w:tc>
          <w:tcPr>
            <w:tcW w:w="1304" w:type="dxa"/>
            <w:vAlign w:val="center"/>
          </w:tcPr>
          <w:p w:rsidR="003262CA" w:rsidRPr="003077D0" w:rsidRDefault="003262CA" w:rsidP="003077D0">
            <w:pPr>
              <w:jc w:val="center"/>
              <w:rPr>
                <w:b/>
              </w:rPr>
            </w:pPr>
            <w:r w:rsidRPr="003077D0">
              <w:rPr>
                <w:b/>
              </w:rPr>
              <w:t>Cont Cu (kt)</w:t>
            </w:r>
          </w:p>
        </w:tc>
      </w:tr>
      <w:tr w:rsidR="003262CA" w:rsidTr="003077D0">
        <w:tc>
          <w:tcPr>
            <w:tcW w:w="1305" w:type="dxa"/>
            <w:vAlign w:val="center"/>
          </w:tcPr>
          <w:p w:rsidR="003262CA" w:rsidRDefault="003262CA" w:rsidP="003077D0">
            <w:pPr>
              <w:jc w:val="center"/>
            </w:pPr>
            <w:r>
              <w:t>1998</w:t>
            </w:r>
          </w:p>
        </w:tc>
        <w:tc>
          <w:tcPr>
            <w:tcW w:w="1308" w:type="dxa"/>
            <w:vAlign w:val="center"/>
          </w:tcPr>
          <w:p w:rsidR="003262CA" w:rsidRDefault="003262CA" w:rsidP="003077D0">
            <w:pPr>
              <w:jc w:val="center"/>
            </w:pPr>
            <w:r>
              <w:t>CMT</w:t>
            </w:r>
          </w:p>
        </w:tc>
        <w:tc>
          <w:tcPr>
            <w:tcW w:w="1375" w:type="dxa"/>
            <w:vAlign w:val="center"/>
          </w:tcPr>
          <w:p w:rsidR="003262CA" w:rsidRDefault="003262CA" w:rsidP="003077D0">
            <w:pPr>
              <w:jc w:val="center"/>
            </w:pPr>
          </w:p>
        </w:tc>
        <w:tc>
          <w:tcPr>
            <w:tcW w:w="1334" w:type="dxa"/>
            <w:vAlign w:val="center"/>
          </w:tcPr>
          <w:p w:rsidR="003262CA" w:rsidRDefault="003262CA" w:rsidP="003077D0">
            <w:pPr>
              <w:jc w:val="center"/>
            </w:pPr>
            <w:r>
              <w:t>2.55</w:t>
            </w:r>
          </w:p>
        </w:tc>
        <w:tc>
          <w:tcPr>
            <w:tcW w:w="1309" w:type="dxa"/>
            <w:vAlign w:val="center"/>
          </w:tcPr>
          <w:p w:rsidR="003262CA" w:rsidRDefault="003262CA" w:rsidP="003077D0">
            <w:pPr>
              <w:jc w:val="center"/>
            </w:pPr>
            <w:r>
              <w:t>1.2</w:t>
            </w:r>
          </w:p>
        </w:tc>
        <w:tc>
          <w:tcPr>
            <w:tcW w:w="1307" w:type="dxa"/>
            <w:vAlign w:val="center"/>
          </w:tcPr>
          <w:p w:rsidR="003262CA" w:rsidRDefault="003262CA" w:rsidP="003077D0">
            <w:pPr>
              <w:jc w:val="center"/>
            </w:pPr>
            <w:r>
              <w:t>1.37</w:t>
            </w:r>
          </w:p>
        </w:tc>
        <w:tc>
          <w:tcPr>
            <w:tcW w:w="1304" w:type="dxa"/>
            <w:vAlign w:val="center"/>
          </w:tcPr>
          <w:p w:rsidR="003262CA" w:rsidRDefault="003262CA" w:rsidP="003077D0">
            <w:pPr>
              <w:jc w:val="center"/>
              <w:rPr>
                <w:rFonts w:ascii="Calibri" w:hAnsi="Calibri"/>
                <w:color w:val="000000"/>
              </w:rPr>
            </w:pPr>
            <w:r>
              <w:rPr>
                <w:rFonts w:ascii="Calibri" w:hAnsi="Calibri"/>
                <w:color w:val="000000"/>
              </w:rPr>
              <w:t>16.4</w:t>
            </w:r>
          </w:p>
        </w:tc>
      </w:tr>
      <w:tr w:rsidR="003262CA" w:rsidTr="003077D0">
        <w:tc>
          <w:tcPr>
            <w:tcW w:w="1305" w:type="dxa"/>
            <w:vAlign w:val="center"/>
          </w:tcPr>
          <w:p w:rsidR="003262CA" w:rsidRDefault="003262CA" w:rsidP="003077D0">
            <w:pPr>
              <w:jc w:val="center"/>
            </w:pPr>
            <w:r>
              <w:t>2008</w:t>
            </w:r>
          </w:p>
        </w:tc>
        <w:tc>
          <w:tcPr>
            <w:tcW w:w="1308" w:type="dxa"/>
            <w:vAlign w:val="center"/>
          </w:tcPr>
          <w:p w:rsidR="003262CA" w:rsidRDefault="003262CA" w:rsidP="003077D0">
            <w:pPr>
              <w:jc w:val="center"/>
            </w:pPr>
            <w:r>
              <w:t>AMC</w:t>
            </w:r>
          </w:p>
        </w:tc>
        <w:tc>
          <w:tcPr>
            <w:tcW w:w="1375" w:type="dxa"/>
            <w:vAlign w:val="center"/>
          </w:tcPr>
          <w:p w:rsidR="003262CA" w:rsidRDefault="003262CA" w:rsidP="003077D0">
            <w:pPr>
              <w:jc w:val="center"/>
            </w:pPr>
            <w:r>
              <w:t>Upside model</w:t>
            </w:r>
          </w:p>
        </w:tc>
        <w:tc>
          <w:tcPr>
            <w:tcW w:w="1334" w:type="dxa"/>
            <w:vAlign w:val="center"/>
          </w:tcPr>
          <w:p w:rsidR="003262CA" w:rsidRDefault="003262CA" w:rsidP="003077D0">
            <w:pPr>
              <w:jc w:val="center"/>
            </w:pPr>
            <w:r>
              <w:t>2.20</w:t>
            </w:r>
          </w:p>
        </w:tc>
        <w:tc>
          <w:tcPr>
            <w:tcW w:w="1309" w:type="dxa"/>
            <w:vAlign w:val="center"/>
          </w:tcPr>
          <w:p w:rsidR="003262CA" w:rsidRDefault="003262CA" w:rsidP="003077D0">
            <w:pPr>
              <w:jc w:val="center"/>
            </w:pPr>
            <w:r>
              <w:t>2.9</w:t>
            </w:r>
          </w:p>
        </w:tc>
        <w:tc>
          <w:tcPr>
            <w:tcW w:w="1307" w:type="dxa"/>
            <w:vAlign w:val="center"/>
          </w:tcPr>
          <w:p w:rsidR="003262CA" w:rsidRDefault="003262CA" w:rsidP="003077D0">
            <w:pPr>
              <w:jc w:val="center"/>
            </w:pPr>
            <w:r>
              <w:t>1.07</w:t>
            </w:r>
          </w:p>
        </w:tc>
        <w:tc>
          <w:tcPr>
            <w:tcW w:w="1304" w:type="dxa"/>
            <w:vAlign w:val="center"/>
          </w:tcPr>
          <w:p w:rsidR="003262CA" w:rsidRDefault="003262CA" w:rsidP="003077D0">
            <w:pPr>
              <w:jc w:val="center"/>
              <w:rPr>
                <w:rFonts w:ascii="Calibri" w:hAnsi="Calibri"/>
                <w:color w:val="000000"/>
              </w:rPr>
            </w:pPr>
            <w:r>
              <w:rPr>
                <w:rFonts w:ascii="Calibri" w:hAnsi="Calibri"/>
                <w:color w:val="000000"/>
              </w:rPr>
              <w:t>31.0</w:t>
            </w:r>
          </w:p>
        </w:tc>
      </w:tr>
      <w:tr w:rsidR="003262CA" w:rsidTr="003077D0">
        <w:tc>
          <w:tcPr>
            <w:tcW w:w="1305" w:type="dxa"/>
            <w:vAlign w:val="center"/>
          </w:tcPr>
          <w:p w:rsidR="003262CA" w:rsidRDefault="003262CA" w:rsidP="003077D0">
            <w:pPr>
              <w:jc w:val="center"/>
            </w:pPr>
            <w:r>
              <w:t>2008</w:t>
            </w:r>
          </w:p>
        </w:tc>
        <w:tc>
          <w:tcPr>
            <w:tcW w:w="1308" w:type="dxa"/>
            <w:vAlign w:val="center"/>
          </w:tcPr>
          <w:p w:rsidR="003262CA" w:rsidRDefault="003262CA" w:rsidP="003077D0">
            <w:pPr>
              <w:jc w:val="center"/>
            </w:pPr>
            <w:r>
              <w:t>AMC</w:t>
            </w:r>
          </w:p>
        </w:tc>
        <w:tc>
          <w:tcPr>
            <w:tcW w:w="1375" w:type="dxa"/>
            <w:vAlign w:val="center"/>
          </w:tcPr>
          <w:p w:rsidR="003262CA" w:rsidRDefault="003262CA" w:rsidP="003077D0">
            <w:pPr>
              <w:jc w:val="center"/>
            </w:pPr>
            <w:r>
              <w:t>Conservative model</w:t>
            </w:r>
          </w:p>
        </w:tc>
        <w:tc>
          <w:tcPr>
            <w:tcW w:w="1334" w:type="dxa"/>
            <w:vAlign w:val="center"/>
          </w:tcPr>
          <w:p w:rsidR="003262CA" w:rsidRDefault="003262CA" w:rsidP="003077D0">
            <w:pPr>
              <w:jc w:val="center"/>
            </w:pPr>
            <w:r>
              <w:t>2.20</w:t>
            </w:r>
          </w:p>
        </w:tc>
        <w:tc>
          <w:tcPr>
            <w:tcW w:w="1309" w:type="dxa"/>
            <w:vAlign w:val="center"/>
          </w:tcPr>
          <w:p w:rsidR="003262CA" w:rsidRDefault="003262CA" w:rsidP="003077D0">
            <w:pPr>
              <w:jc w:val="center"/>
            </w:pPr>
            <w:r>
              <w:t>2.5</w:t>
            </w:r>
          </w:p>
        </w:tc>
        <w:tc>
          <w:tcPr>
            <w:tcW w:w="1307" w:type="dxa"/>
            <w:vAlign w:val="center"/>
          </w:tcPr>
          <w:p w:rsidR="003262CA" w:rsidRDefault="003262CA" w:rsidP="003077D0">
            <w:pPr>
              <w:jc w:val="center"/>
            </w:pPr>
            <w:r>
              <w:t>0.90</w:t>
            </w:r>
          </w:p>
        </w:tc>
        <w:tc>
          <w:tcPr>
            <w:tcW w:w="1304" w:type="dxa"/>
            <w:vAlign w:val="center"/>
          </w:tcPr>
          <w:p w:rsidR="003262CA" w:rsidRDefault="003262CA" w:rsidP="003077D0">
            <w:pPr>
              <w:jc w:val="center"/>
              <w:rPr>
                <w:rFonts w:ascii="Calibri" w:hAnsi="Calibri"/>
                <w:color w:val="000000"/>
              </w:rPr>
            </w:pPr>
            <w:r>
              <w:rPr>
                <w:rFonts w:ascii="Calibri" w:hAnsi="Calibri"/>
                <w:color w:val="000000"/>
              </w:rPr>
              <w:t>22.5</w:t>
            </w:r>
          </w:p>
        </w:tc>
      </w:tr>
      <w:tr w:rsidR="003262CA" w:rsidTr="003077D0">
        <w:tc>
          <w:tcPr>
            <w:tcW w:w="1305" w:type="dxa"/>
            <w:vAlign w:val="center"/>
          </w:tcPr>
          <w:p w:rsidR="003262CA" w:rsidRDefault="003262CA" w:rsidP="003077D0">
            <w:pPr>
              <w:jc w:val="center"/>
            </w:pPr>
            <w:r>
              <w:t>2013</w:t>
            </w:r>
          </w:p>
        </w:tc>
        <w:tc>
          <w:tcPr>
            <w:tcW w:w="1308" w:type="dxa"/>
            <w:vAlign w:val="center"/>
          </w:tcPr>
          <w:p w:rsidR="003262CA" w:rsidRDefault="003262CA" w:rsidP="003077D0">
            <w:pPr>
              <w:jc w:val="center"/>
            </w:pPr>
            <w:r>
              <w:t>CMT</w:t>
            </w:r>
          </w:p>
        </w:tc>
        <w:tc>
          <w:tcPr>
            <w:tcW w:w="1375" w:type="dxa"/>
            <w:vAlign w:val="center"/>
          </w:tcPr>
          <w:p w:rsidR="003262CA" w:rsidRDefault="003262CA" w:rsidP="003077D0">
            <w:pPr>
              <w:jc w:val="center"/>
            </w:pPr>
            <w:r>
              <w:t xml:space="preserve">Pass 3 </w:t>
            </w:r>
            <w:r w:rsidR="003077D0">
              <w:t xml:space="preserve">(Upside) </w:t>
            </w:r>
            <w:r>
              <w:t>model</w:t>
            </w:r>
          </w:p>
        </w:tc>
        <w:tc>
          <w:tcPr>
            <w:tcW w:w="1334" w:type="dxa"/>
            <w:vAlign w:val="center"/>
          </w:tcPr>
          <w:p w:rsidR="003262CA" w:rsidRDefault="003262CA" w:rsidP="003077D0">
            <w:pPr>
              <w:jc w:val="center"/>
            </w:pPr>
            <w:r>
              <w:t>Interpolated</w:t>
            </w:r>
          </w:p>
        </w:tc>
        <w:tc>
          <w:tcPr>
            <w:tcW w:w="1309" w:type="dxa"/>
            <w:vAlign w:val="center"/>
          </w:tcPr>
          <w:p w:rsidR="003262CA" w:rsidRDefault="003262CA" w:rsidP="003077D0">
            <w:pPr>
              <w:jc w:val="center"/>
            </w:pPr>
            <w:bookmarkStart w:id="0" w:name="_GoBack"/>
            <w:bookmarkEnd w:id="0"/>
            <w:r>
              <w:t>0.4</w:t>
            </w:r>
          </w:p>
        </w:tc>
        <w:tc>
          <w:tcPr>
            <w:tcW w:w="1307" w:type="dxa"/>
            <w:vAlign w:val="center"/>
          </w:tcPr>
          <w:p w:rsidR="003262CA" w:rsidRDefault="003262CA" w:rsidP="003077D0">
            <w:pPr>
              <w:jc w:val="center"/>
            </w:pPr>
            <w:r>
              <w:t>0.91</w:t>
            </w:r>
          </w:p>
        </w:tc>
        <w:tc>
          <w:tcPr>
            <w:tcW w:w="1304" w:type="dxa"/>
            <w:vAlign w:val="center"/>
          </w:tcPr>
          <w:p w:rsidR="003262CA" w:rsidRDefault="003077D0" w:rsidP="003077D0">
            <w:pPr>
              <w:keepNext/>
              <w:jc w:val="center"/>
              <w:rPr>
                <w:rFonts w:ascii="Calibri" w:hAnsi="Calibri"/>
                <w:color w:val="000000"/>
              </w:rPr>
            </w:pPr>
            <w:r>
              <w:rPr>
                <w:rFonts w:ascii="Calibri" w:hAnsi="Calibri"/>
                <w:color w:val="000000"/>
              </w:rPr>
              <w:t>3.6</w:t>
            </w:r>
          </w:p>
        </w:tc>
      </w:tr>
    </w:tbl>
    <w:p w:rsidR="006F0F3C" w:rsidRPr="00FD4D2E" w:rsidRDefault="003077D0" w:rsidP="003077D0">
      <w:pPr>
        <w:pStyle w:val="Caption"/>
      </w:pPr>
      <w:proofErr w:type="gramStart"/>
      <w:r>
        <w:t xml:space="preserve">Table </w:t>
      </w:r>
      <w:r w:rsidR="00EE6194">
        <w:fldChar w:fldCharType="begin"/>
      </w:r>
      <w:r w:rsidR="00EE6194">
        <w:instrText xml:space="preserve"> SEQ Table \* ARABIC </w:instrText>
      </w:r>
      <w:r w:rsidR="00EE6194">
        <w:fldChar w:fldCharType="separate"/>
      </w:r>
      <w:r>
        <w:rPr>
          <w:noProof/>
        </w:rPr>
        <w:t>2</w:t>
      </w:r>
      <w:r w:rsidR="00EE6194">
        <w:rPr>
          <w:noProof/>
        </w:rPr>
        <w:fldChar w:fldCharType="end"/>
      </w:r>
      <w:r>
        <w:t>.</w:t>
      </w:r>
      <w:proofErr w:type="gramEnd"/>
      <w:r>
        <w:t xml:space="preserve"> </w:t>
      </w:r>
      <w:r w:rsidRPr="00EE7B8F">
        <w:t>Comparison of estimations for the King Lyell Copper Clays</w:t>
      </w:r>
      <w:r>
        <w:t>.</w:t>
      </w:r>
    </w:p>
    <w:p w:rsidR="007A0E05" w:rsidRDefault="003077D0" w:rsidP="003077D0">
      <w:r>
        <w:t>This reduction in tonnage (volume) in the most recent model is</w:t>
      </w:r>
      <w:r w:rsidR="00C65EA3">
        <w:t xml:space="preserve"> due to the change in the volu</w:t>
      </w:r>
      <w:r w:rsidR="00585919">
        <w:t>me of the mineralised wireframe</w:t>
      </w:r>
      <w:r w:rsidR="007A0E05">
        <w:t>.  The change in volume is due to:</w:t>
      </w:r>
    </w:p>
    <w:p w:rsidR="00C65EA3" w:rsidRDefault="007A0E05" w:rsidP="007A0E05">
      <w:pPr>
        <w:ind w:left="720"/>
      </w:pPr>
      <w:r>
        <w:t xml:space="preserve">1. Previous models have used the assumption that holes without mineralisation have not drilled deep enough and the wireframe has been modelled to pass underneath these holes (Figure 8).  The </w:t>
      </w:r>
      <w:r w:rsidR="00954F91">
        <w:t xml:space="preserve">2011 </w:t>
      </w:r>
      <w:r>
        <w:t xml:space="preserve">drilling of </w:t>
      </w:r>
      <w:r w:rsidR="00954F91">
        <w:t xml:space="preserve">two holes that were both absent of mineralised clay and ended in Pioneer Beds provided closure </w:t>
      </w:r>
      <w:r w:rsidR="001D2E6D">
        <w:t xml:space="preserve">for the current model </w:t>
      </w:r>
      <w:r w:rsidR="00954F91">
        <w:t>on the west and south-west margins of the deposit</w:t>
      </w:r>
      <w:r w:rsidR="001D2E6D">
        <w:t xml:space="preserve"> (315_GRL relative)</w:t>
      </w:r>
      <w:r w:rsidR="00954F91">
        <w:t xml:space="preserve">.    </w:t>
      </w:r>
    </w:p>
    <w:p w:rsidR="00954F91" w:rsidRDefault="00954F91" w:rsidP="007A0E05">
      <w:pPr>
        <w:ind w:left="720"/>
      </w:pPr>
      <w:r>
        <w:t>2. Previous models have utilised drilling data from 1901 that has performed poor</w:t>
      </w:r>
      <w:r w:rsidR="001D2E6D">
        <w:t>ly in validation drilling</w:t>
      </w:r>
      <w:r>
        <w:t>.   In these models, a large area of mineralisation has been interpreted on the southern, south-eastern and north western margins</w:t>
      </w:r>
      <w:r w:rsidR="001D2E6D">
        <w:t xml:space="preserve"> (315_GRL relative)</w:t>
      </w:r>
      <w:r>
        <w:t>.  Due to the age and questionable validity, these results have not been used in the current modelling/estimation process.</w:t>
      </w:r>
      <w:r w:rsidR="001D2E6D">
        <w:t xml:space="preserve">  </w:t>
      </w:r>
    </w:p>
    <w:p w:rsidR="00401DE7" w:rsidRDefault="00401DE7" w:rsidP="001D2E6D"/>
    <w:p w:rsidR="00585919" w:rsidRDefault="00585919" w:rsidP="003077D0"/>
    <w:p w:rsidR="00585919" w:rsidRDefault="00585919" w:rsidP="00585919">
      <w:pPr>
        <w:keepNext/>
        <w:spacing w:after="0"/>
      </w:pPr>
      <w:r>
        <w:rPr>
          <w:noProof/>
          <w:lang w:eastAsia="en-AU"/>
        </w:rPr>
        <w:lastRenderedPageBreak/>
        <w:drawing>
          <wp:inline distT="0" distB="0" distL="0" distR="0" wp14:anchorId="00423CA1" wp14:editId="081CA909">
            <wp:extent cx="5731510" cy="4640319"/>
            <wp:effectExtent l="0" t="0" r="254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4640319"/>
                    </a:xfrm>
                    <a:prstGeom prst="rect">
                      <a:avLst/>
                    </a:prstGeom>
                  </pic:spPr>
                </pic:pic>
              </a:graphicData>
            </a:graphic>
          </wp:inline>
        </w:drawing>
      </w:r>
    </w:p>
    <w:p w:rsidR="00585919" w:rsidRDefault="00585919" w:rsidP="00585919">
      <w:pPr>
        <w:pStyle w:val="Caption"/>
      </w:pPr>
      <w:r>
        <w:t xml:space="preserve">Figure </w:t>
      </w:r>
      <w:r w:rsidR="00EE6194">
        <w:fldChar w:fldCharType="begin"/>
      </w:r>
      <w:r w:rsidR="00EE6194">
        <w:instrText xml:space="preserve"> SEQ Figure \* ARABIC </w:instrText>
      </w:r>
      <w:r w:rsidR="00EE6194">
        <w:fldChar w:fldCharType="separate"/>
      </w:r>
      <w:r>
        <w:rPr>
          <w:noProof/>
        </w:rPr>
        <w:t>8</w:t>
      </w:r>
      <w:r w:rsidR="00EE6194">
        <w:rPr>
          <w:noProof/>
        </w:rPr>
        <w:fldChar w:fldCharType="end"/>
      </w:r>
      <w:r>
        <w:t xml:space="preserve">.  Comparison of </w:t>
      </w:r>
      <w:r w:rsidR="00234229">
        <w:t>previous</w:t>
      </w:r>
      <w:r>
        <w:t xml:space="preserve"> wireframe (green) and current mineralised wireframe (blue) (plan view).  Drill collars shown (1996 programme=green, 2005 programme=red, 2011 programme=blue collars).</w:t>
      </w:r>
      <w:r w:rsidR="007A0E05">
        <w:t xml:space="preserve">  Note position of the two 2005 and one 1996 drill holes outside the 2013 wireframe</w:t>
      </w:r>
      <w:r w:rsidR="000D13E6">
        <w:t>.  The AMC modelled wireframe passes below these holes.</w:t>
      </w:r>
    </w:p>
    <w:p w:rsidR="00585919" w:rsidRDefault="00585919" w:rsidP="00585919">
      <w:pPr>
        <w:pStyle w:val="Caption"/>
      </w:pPr>
    </w:p>
    <w:p w:rsidR="00401DE7" w:rsidRDefault="00401DE7" w:rsidP="00401DE7">
      <w:pPr>
        <w:pStyle w:val="Heading2"/>
      </w:pPr>
      <w:r>
        <w:t>Further work – boundary delineation</w:t>
      </w:r>
    </w:p>
    <w:p w:rsidR="00234229" w:rsidRDefault="00401DE7" w:rsidP="00401DE7">
      <w:r>
        <w:t>It is recognised that due to the scarcity of reliable drilling data in the south-east and north-west (GRL relative), that the deposit it open in these directions.  It is unlikely that drilling in the north-east will greatly increase the volume of the deposit due to the shallowing nature of the footwall anticline.  However, drilling in the south-east may extend the deposit</w:t>
      </w:r>
      <w:r w:rsidR="00234229">
        <w:t xml:space="preserve">.  </w:t>
      </w:r>
    </w:p>
    <w:p w:rsidR="00401DE7" w:rsidRDefault="00401DE7" w:rsidP="00401DE7"/>
    <w:p w:rsidR="00D57FAD" w:rsidRPr="00033042" w:rsidRDefault="00D57FAD" w:rsidP="00033042"/>
    <w:sectPr w:rsidR="00D57FAD" w:rsidRPr="00033042" w:rsidSect="00EC5A8F">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7DB1"/>
    <w:rsid w:val="00033042"/>
    <w:rsid w:val="000B6889"/>
    <w:rsid w:val="000D13E6"/>
    <w:rsid w:val="00141827"/>
    <w:rsid w:val="001D2E6D"/>
    <w:rsid w:val="002235E5"/>
    <w:rsid w:val="00234229"/>
    <w:rsid w:val="002829DC"/>
    <w:rsid w:val="002E05CB"/>
    <w:rsid w:val="003077D0"/>
    <w:rsid w:val="003262CA"/>
    <w:rsid w:val="00362C57"/>
    <w:rsid w:val="00362C7C"/>
    <w:rsid w:val="00364F9F"/>
    <w:rsid w:val="003D71E1"/>
    <w:rsid w:val="00401DE7"/>
    <w:rsid w:val="00407DB1"/>
    <w:rsid w:val="00434FD5"/>
    <w:rsid w:val="004719B0"/>
    <w:rsid w:val="005153FE"/>
    <w:rsid w:val="00545937"/>
    <w:rsid w:val="00585919"/>
    <w:rsid w:val="00646C05"/>
    <w:rsid w:val="00682E3A"/>
    <w:rsid w:val="006A0A26"/>
    <w:rsid w:val="006F0F3C"/>
    <w:rsid w:val="007A0E05"/>
    <w:rsid w:val="007B5451"/>
    <w:rsid w:val="007D11D5"/>
    <w:rsid w:val="008F12AE"/>
    <w:rsid w:val="00954F91"/>
    <w:rsid w:val="00966215"/>
    <w:rsid w:val="009708B9"/>
    <w:rsid w:val="0098725C"/>
    <w:rsid w:val="009A3ABD"/>
    <w:rsid w:val="009A5BF8"/>
    <w:rsid w:val="009C577A"/>
    <w:rsid w:val="009E2D67"/>
    <w:rsid w:val="009E44CD"/>
    <w:rsid w:val="00A00511"/>
    <w:rsid w:val="00A64AF2"/>
    <w:rsid w:val="00A83B29"/>
    <w:rsid w:val="00AB534B"/>
    <w:rsid w:val="00B1211E"/>
    <w:rsid w:val="00B2087E"/>
    <w:rsid w:val="00B23358"/>
    <w:rsid w:val="00B47ECC"/>
    <w:rsid w:val="00B551B2"/>
    <w:rsid w:val="00BB4AFB"/>
    <w:rsid w:val="00BC3215"/>
    <w:rsid w:val="00BC6492"/>
    <w:rsid w:val="00BE0895"/>
    <w:rsid w:val="00BE3A2C"/>
    <w:rsid w:val="00BE3B77"/>
    <w:rsid w:val="00C06A1F"/>
    <w:rsid w:val="00C65EA3"/>
    <w:rsid w:val="00CC2EBC"/>
    <w:rsid w:val="00CD721A"/>
    <w:rsid w:val="00D04135"/>
    <w:rsid w:val="00D57FAD"/>
    <w:rsid w:val="00D84C79"/>
    <w:rsid w:val="00DE17D1"/>
    <w:rsid w:val="00E34B0E"/>
    <w:rsid w:val="00E56161"/>
    <w:rsid w:val="00EC5A8F"/>
    <w:rsid w:val="00EE1571"/>
    <w:rsid w:val="00EE6194"/>
    <w:rsid w:val="00F0167B"/>
    <w:rsid w:val="00FD4D2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7DB1"/>
  </w:style>
  <w:style w:type="paragraph" w:styleId="Heading1">
    <w:name w:val="heading 1"/>
    <w:basedOn w:val="Normal"/>
    <w:next w:val="Normal"/>
    <w:link w:val="Heading1Char"/>
    <w:uiPriority w:val="9"/>
    <w:qFormat/>
    <w:rsid w:val="00407DB1"/>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407DB1"/>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407DB1"/>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407DB1"/>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407DB1"/>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407DB1"/>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407DB1"/>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407DB1"/>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407DB1"/>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07DB1"/>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rsid w:val="00407DB1"/>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407DB1"/>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407DB1"/>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407DB1"/>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407DB1"/>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407DB1"/>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407DB1"/>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407DB1"/>
    <w:rPr>
      <w:rFonts w:asciiTheme="majorHAnsi" w:eastAsiaTheme="majorEastAsia" w:hAnsiTheme="majorHAnsi" w:cstheme="majorBidi"/>
      <w:i/>
      <w:iCs/>
      <w:spacing w:val="5"/>
      <w:sz w:val="20"/>
      <w:szCs w:val="20"/>
    </w:rPr>
  </w:style>
  <w:style w:type="paragraph" w:styleId="Caption">
    <w:name w:val="caption"/>
    <w:basedOn w:val="Normal"/>
    <w:next w:val="Normal"/>
    <w:uiPriority w:val="35"/>
    <w:unhideWhenUsed/>
    <w:rsid w:val="00407DB1"/>
    <w:pPr>
      <w:spacing w:line="240" w:lineRule="auto"/>
    </w:pPr>
    <w:rPr>
      <w:b/>
      <w:bCs/>
      <w:color w:val="4F81BD" w:themeColor="accent1"/>
      <w:sz w:val="18"/>
      <w:szCs w:val="18"/>
    </w:rPr>
  </w:style>
  <w:style w:type="paragraph" w:styleId="Title">
    <w:name w:val="Title"/>
    <w:basedOn w:val="Normal"/>
    <w:next w:val="Normal"/>
    <w:link w:val="TitleChar"/>
    <w:uiPriority w:val="10"/>
    <w:qFormat/>
    <w:rsid w:val="00407DB1"/>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407DB1"/>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407DB1"/>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407DB1"/>
    <w:rPr>
      <w:rFonts w:asciiTheme="majorHAnsi" w:eastAsiaTheme="majorEastAsia" w:hAnsiTheme="majorHAnsi" w:cstheme="majorBidi"/>
      <w:i/>
      <w:iCs/>
      <w:spacing w:val="13"/>
      <w:sz w:val="24"/>
      <w:szCs w:val="24"/>
    </w:rPr>
  </w:style>
  <w:style w:type="character" w:styleId="Strong">
    <w:name w:val="Strong"/>
    <w:uiPriority w:val="22"/>
    <w:qFormat/>
    <w:rsid w:val="00407DB1"/>
    <w:rPr>
      <w:b/>
      <w:bCs/>
    </w:rPr>
  </w:style>
  <w:style w:type="character" w:styleId="Emphasis">
    <w:name w:val="Emphasis"/>
    <w:uiPriority w:val="20"/>
    <w:qFormat/>
    <w:rsid w:val="00407DB1"/>
    <w:rPr>
      <w:b/>
      <w:bCs/>
      <w:i/>
      <w:iCs/>
      <w:spacing w:val="10"/>
      <w:bdr w:val="none" w:sz="0" w:space="0" w:color="auto"/>
      <w:shd w:val="clear" w:color="auto" w:fill="auto"/>
    </w:rPr>
  </w:style>
  <w:style w:type="paragraph" w:styleId="NoSpacing">
    <w:name w:val="No Spacing"/>
    <w:basedOn w:val="Normal"/>
    <w:link w:val="NoSpacingChar"/>
    <w:uiPriority w:val="1"/>
    <w:qFormat/>
    <w:rsid w:val="00407DB1"/>
    <w:pPr>
      <w:spacing w:after="0" w:line="240" w:lineRule="auto"/>
    </w:pPr>
  </w:style>
  <w:style w:type="character" w:customStyle="1" w:styleId="NoSpacingChar">
    <w:name w:val="No Spacing Char"/>
    <w:basedOn w:val="DefaultParagraphFont"/>
    <w:link w:val="NoSpacing"/>
    <w:uiPriority w:val="1"/>
    <w:rsid w:val="00407DB1"/>
  </w:style>
  <w:style w:type="paragraph" w:styleId="ListParagraph">
    <w:name w:val="List Paragraph"/>
    <w:basedOn w:val="Normal"/>
    <w:uiPriority w:val="34"/>
    <w:qFormat/>
    <w:rsid w:val="00407DB1"/>
    <w:pPr>
      <w:ind w:left="720"/>
      <w:contextualSpacing/>
    </w:pPr>
  </w:style>
  <w:style w:type="paragraph" w:styleId="Quote">
    <w:name w:val="Quote"/>
    <w:basedOn w:val="Normal"/>
    <w:next w:val="Normal"/>
    <w:link w:val="QuoteChar"/>
    <w:uiPriority w:val="29"/>
    <w:qFormat/>
    <w:rsid w:val="00407DB1"/>
    <w:pPr>
      <w:spacing w:before="200" w:after="0"/>
      <w:ind w:left="360" w:right="360"/>
    </w:pPr>
    <w:rPr>
      <w:i/>
      <w:iCs/>
    </w:rPr>
  </w:style>
  <w:style w:type="character" w:customStyle="1" w:styleId="QuoteChar">
    <w:name w:val="Quote Char"/>
    <w:basedOn w:val="DefaultParagraphFont"/>
    <w:link w:val="Quote"/>
    <w:uiPriority w:val="29"/>
    <w:rsid w:val="00407DB1"/>
    <w:rPr>
      <w:i/>
      <w:iCs/>
    </w:rPr>
  </w:style>
  <w:style w:type="paragraph" w:styleId="IntenseQuote">
    <w:name w:val="Intense Quote"/>
    <w:basedOn w:val="Normal"/>
    <w:next w:val="Normal"/>
    <w:link w:val="IntenseQuoteChar"/>
    <w:uiPriority w:val="30"/>
    <w:qFormat/>
    <w:rsid w:val="00407DB1"/>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07DB1"/>
    <w:rPr>
      <w:b/>
      <w:bCs/>
      <w:i/>
      <w:iCs/>
    </w:rPr>
  </w:style>
  <w:style w:type="character" w:styleId="SubtleEmphasis">
    <w:name w:val="Subtle Emphasis"/>
    <w:uiPriority w:val="19"/>
    <w:qFormat/>
    <w:rsid w:val="00407DB1"/>
    <w:rPr>
      <w:i/>
      <w:iCs/>
    </w:rPr>
  </w:style>
  <w:style w:type="character" w:styleId="IntenseEmphasis">
    <w:name w:val="Intense Emphasis"/>
    <w:uiPriority w:val="21"/>
    <w:qFormat/>
    <w:rsid w:val="00407DB1"/>
    <w:rPr>
      <w:b/>
      <w:bCs/>
    </w:rPr>
  </w:style>
  <w:style w:type="character" w:styleId="SubtleReference">
    <w:name w:val="Subtle Reference"/>
    <w:uiPriority w:val="31"/>
    <w:qFormat/>
    <w:rsid w:val="00407DB1"/>
    <w:rPr>
      <w:smallCaps/>
    </w:rPr>
  </w:style>
  <w:style w:type="character" w:styleId="IntenseReference">
    <w:name w:val="Intense Reference"/>
    <w:uiPriority w:val="32"/>
    <w:qFormat/>
    <w:rsid w:val="00407DB1"/>
    <w:rPr>
      <w:smallCaps/>
      <w:spacing w:val="5"/>
      <w:u w:val="single"/>
    </w:rPr>
  </w:style>
  <w:style w:type="character" w:styleId="BookTitle">
    <w:name w:val="Book Title"/>
    <w:uiPriority w:val="33"/>
    <w:qFormat/>
    <w:rsid w:val="00407DB1"/>
    <w:rPr>
      <w:i/>
      <w:iCs/>
      <w:smallCaps/>
      <w:spacing w:val="5"/>
    </w:rPr>
  </w:style>
  <w:style w:type="paragraph" w:styleId="TOCHeading">
    <w:name w:val="TOC Heading"/>
    <w:basedOn w:val="Heading1"/>
    <w:next w:val="Normal"/>
    <w:uiPriority w:val="39"/>
    <w:semiHidden/>
    <w:unhideWhenUsed/>
    <w:qFormat/>
    <w:rsid w:val="00407DB1"/>
    <w:pPr>
      <w:outlineLvl w:val="9"/>
    </w:pPr>
    <w:rPr>
      <w:lang w:bidi="en-US"/>
    </w:rPr>
  </w:style>
  <w:style w:type="paragraph" w:styleId="BalloonText">
    <w:name w:val="Balloon Text"/>
    <w:basedOn w:val="Normal"/>
    <w:link w:val="BalloonTextChar"/>
    <w:uiPriority w:val="99"/>
    <w:semiHidden/>
    <w:unhideWhenUsed/>
    <w:rsid w:val="00EC5A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5A8F"/>
    <w:rPr>
      <w:rFonts w:ascii="Tahoma" w:hAnsi="Tahoma" w:cs="Tahoma"/>
      <w:sz w:val="16"/>
      <w:szCs w:val="16"/>
    </w:rPr>
  </w:style>
  <w:style w:type="table" w:styleId="TableGrid">
    <w:name w:val="Table Grid"/>
    <w:basedOn w:val="TableNormal"/>
    <w:uiPriority w:val="59"/>
    <w:rsid w:val="007B54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7DB1"/>
  </w:style>
  <w:style w:type="paragraph" w:styleId="Heading1">
    <w:name w:val="heading 1"/>
    <w:basedOn w:val="Normal"/>
    <w:next w:val="Normal"/>
    <w:link w:val="Heading1Char"/>
    <w:uiPriority w:val="9"/>
    <w:qFormat/>
    <w:rsid w:val="00407DB1"/>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407DB1"/>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407DB1"/>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407DB1"/>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407DB1"/>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407DB1"/>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407DB1"/>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407DB1"/>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407DB1"/>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07DB1"/>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rsid w:val="00407DB1"/>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407DB1"/>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407DB1"/>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407DB1"/>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407DB1"/>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407DB1"/>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407DB1"/>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407DB1"/>
    <w:rPr>
      <w:rFonts w:asciiTheme="majorHAnsi" w:eastAsiaTheme="majorEastAsia" w:hAnsiTheme="majorHAnsi" w:cstheme="majorBidi"/>
      <w:i/>
      <w:iCs/>
      <w:spacing w:val="5"/>
      <w:sz w:val="20"/>
      <w:szCs w:val="20"/>
    </w:rPr>
  </w:style>
  <w:style w:type="paragraph" w:styleId="Caption">
    <w:name w:val="caption"/>
    <w:basedOn w:val="Normal"/>
    <w:next w:val="Normal"/>
    <w:uiPriority w:val="35"/>
    <w:unhideWhenUsed/>
    <w:rsid w:val="00407DB1"/>
    <w:pPr>
      <w:spacing w:line="240" w:lineRule="auto"/>
    </w:pPr>
    <w:rPr>
      <w:b/>
      <w:bCs/>
      <w:color w:val="4F81BD" w:themeColor="accent1"/>
      <w:sz w:val="18"/>
      <w:szCs w:val="18"/>
    </w:rPr>
  </w:style>
  <w:style w:type="paragraph" w:styleId="Title">
    <w:name w:val="Title"/>
    <w:basedOn w:val="Normal"/>
    <w:next w:val="Normal"/>
    <w:link w:val="TitleChar"/>
    <w:uiPriority w:val="10"/>
    <w:qFormat/>
    <w:rsid w:val="00407DB1"/>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407DB1"/>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407DB1"/>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407DB1"/>
    <w:rPr>
      <w:rFonts w:asciiTheme="majorHAnsi" w:eastAsiaTheme="majorEastAsia" w:hAnsiTheme="majorHAnsi" w:cstheme="majorBidi"/>
      <w:i/>
      <w:iCs/>
      <w:spacing w:val="13"/>
      <w:sz w:val="24"/>
      <w:szCs w:val="24"/>
    </w:rPr>
  </w:style>
  <w:style w:type="character" w:styleId="Strong">
    <w:name w:val="Strong"/>
    <w:uiPriority w:val="22"/>
    <w:qFormat/>
    <w:rsid w:val="00407DB1"/>
    <w:rPr>
      <w:b/>
      <w:bCs/>
    </w:rPr>
  </w:style>
  <w:style w:type="character" w:styleId="Emphasis">
    <w:name w:val="Emphasis"/>
    <w:uiPriority w:val="20"/>
    <w:qFormat/>
    <w:rsid w:val="00407DB1"/>
    <w:rPr>
      <w:b/>
      <w:bCs/>
      <w:i/>
      <w:iCs/>
      <w:spacing w:val="10"/>
      <w:bdr w:val="none" w:sz="0" w:space="0" w:color="auto"/>
      <w:shd w:val="clear" w:color="auto" w:fill="auto"/>
    </w:rPr>
  </w:style>
  <w:style w:type="paragraph" w:styleId="NoSpacing">
    <w:name w:val="No Spacing"/>
    <w:basedOn w:val="Normal"/>
    <w:link w:val="NoSpacingChar"/>
    <w:uiPriority w:val="1"/>
    <w:qFormat/>
    <w:rsid w:val="00407DB1"/>
    <w:pPr>
      <w:spacing w:after="0" w:line="240" w:lineRule="auto"/>
    </w:pPr>
  </w:style>
  <w:style w:type="character" w:customStyle="1" w:styleId="NoSpacingChar">
    <w:name w:val="No Spacing Char"/>
    <w:basedOn w:val="DefaultParagraphFont"/>
    <w:link w:val="NoSpacing"/>
    <w:uiPriority w:val="1"/>
    <w:rsid w:val="00407DB1"/>
  </w:style>
  <w:style w:type="paragraph" w:styleId="ListParagraph">
    <w:name w:val="List Paragraph"/>
    <w:basedOn w:val="Normal"/>
    <w:uiPriority w:val="34"/>
    <w:qFormat/>
    <w:rsid w:val="00407DB1"/>
    <w:pPr>
      <w:ind w:left="720"/>
      <w:contextualSpacing/>
    </w:pPr>
  </w:style>
  <w:style w:type="paragraph" w:styleId="Quote">
    <w:name w:val="Quote"/>
    <w:basedOn w:val="Normal"/>
    <w:next w:val="Normal"/>
    <w:link w:val="QuoteChar"/>
    <w:uiPriority w:val="29"/>
    <w:qFormat/>
    <w:rsid w:val="00407DB1"/>
    <w:pPr>
      <w:spacing w:before="200" w:after="0"/>
      <w:ind w:left="360" w:right="360"/>
    </w:pPr>
    <w:rPr>
      <w:i/>
      <w:iCs/>
    </w:rPr>
  </w:style>
  <w:style w:type="character" w:customStyle="1" w:styleId="QuoteChar">
    <w:name w:val="Quote Char"/>
    <w:basedOn w:val="DefaultParagraphFont"/>
    <w:link w:val="Quote"/>
    <w:uiPriority w:val="29"/>
    <w:rsid w:val="00407DB1"/>
    <w:rPr>
      <w:i/>
      <w:iCs/>
    </w:rPr>
  </w:style>
  <w:style w:type="paragraph" w:styleId="IntenseQuote">
    <w:name w:val="Intense Quote"/>
    <w:basedOn w:val="Normal"/>
    <w:next w:val="Normal"/>
    <w:link w:val="IntenseQuoteChar"/>
    <w:uiPriority w:val="30"/>
    <w:qFormat/>
    <w:rsid w:val="00407DB1"/>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07DB1"/>
    <w:rPr>
      <w:b/>
      <w:bCs/>
      <w:i/>
      <w:iCs/>
    </w:rPr>
  </w:style>
  <w:style w:type="character" w:styleId="SubtleEmphasis">
    <w:name w:val="Subtle Emphasis"/>
    <w:uiPriority w:val="19"/>
    <w:qFormat/>
    <w:rsid w:val="00407DB1"/>
    <w:rPr>
      <w:i/>
      <w:iCs/>
    </w:rPr>
  </w:style>
  <w:style w:type="character" w:styleId="IntenseEmphasis">
    <w:name w:val="Intense Emphasis"/>
    <w:uiPriority w:val="21"/>
    <w:qFormat/>
    <w:rsid w:val="00407DB1"/>
    <w:rPr>
      <w:b/>
      <w:bCs/>
    </w:rPr>
  </w:style>
  <w:style w:type="character" w:styleId="SubtleReference">
    <w:name w:val="Subtle Reference"/>
    <w:uiPriority w:val="31"/>
    <w:qFormat/>
    <w:rsid w:val="00407DB1"/>
    <w:rPr>
      <w:smallCaps/>
    </w:rPr>
  </w:style>
  <w:style w:type="character" w:styleId="IntenseReference">
    <w:name w:val="Intense Reference"/>
    <w:uiPriority w:val="32"/>
    <w:qFormat/>
    <w:rsid w:val="00407DB1"/>
    <w:rPr>
      <w:smallCaps/>
      <w:spacing w:val="5"/>
      <w:u w:val="single"/>
    </w:rPr>
  </w:style>
  <w:style w:type="character" w:styleId="BookTitle">
    <w:name w:val="Book Title"/>
    <w:uiPriority w:val="33"/>
    <w:qFormat/>
    <w:rsid w:val="00407DB1"/>
    <w:rPr>
      <w:i/>
      <w:iCs/>
      <w:smallCaps/>
      <w:spacing w:val="5"/>
    </w:rPr>
  </w:style>
  <w:style w:type="paragraph" w:styleId="TOCHeading">
    <w:name w:val="TOC Heading"/>
    <w:basedOn w:val="Heading1"/>
    <w:next w:val="Normal"/>
    <w:uiPriority w:val="39"/>
    <w:semiHidden/>
    <w:unhideWhenUsed/>
    <w:qFormat/>
    <w:rsid w:val="00407DB1"/>
    <w:pPr>
      <w:outlineLvl w:val="9"/>
    </w:pPr>
    <w:rPr>
      <w:lang w:bidi="en-US"/>
    </w:rPr>
  </w:style>
  <w:style w:type="paragraph" w:styleId="BalloonText">
    <w:name w:val="Balloon Text"/>
    <w:basedOn w:val="Normal"/>
    <w:link w:val="BalloonTextChar"/>
    <w:uiPriority w:val="99"/>
    <w:semiHidden/>
    <w:unhideWhenUsed/>
    <w:rsid w:val="00EC5A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5A8F"/>
    <w:rPr>
      <w:rFonts w:ascii="Tahoma" w:hAnsi="Tahoma" w:cs="Tahoma"/>
      <w:sz w:val="16"/>
      <w:szCs w:val="16"/>
    </w:rPr>
  </w:style>
  <w:style w:type="table" w:styleId="TableGrid">
    <w:name w:val="Table Grid"/>
    <w:basedOn w:val="TableNormal"/>
    <w:uiPriority w:val="59"/>
    <w:rsid w:val="007B54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9871281">
      <w:bodyDiv w:val="1"/>
      <w:marLeft w:val="0"/>
      <w:marRight w:val="0"/>
      <w:marTop w:val="0"/>
      <w:marBottom w:val="0"/>
      <w:divBdr>
        <w:top w:val="none" w:sz="0" w:space="0" w:color="auto"/>
        <w:left w:val="none" w:sz="0" w:space="0" w:color="auto"/>
        <w:bottom w:val="none" w:sz="0" w:space="0" w:color="auto"/>
        <w:right w:val="none" w:sz="0" w:space="0" w:color="auto"/>
      </w:divBdr>
    </w:div>
    <w:div w:id="1034577934">
      <w:bodyDiv w:val="1"/>
      <w:marLeft w:val="0"/>
      <w:marRight w:val="0"/>
      <w:marTop w:val="0"/>
      <w:marBottom w:val="0"/>
      <w:divBdr>
        <w:top w:val="none" w:sz="0" w:space="0" w:color="auto"/>
        <w:left w:val="none" w:sz="0" w:space="0" w:color="auto"/>
        <w:bottom w:val="none" w:sz="0" w:space="0" w:color="auto"/>
        <w:right w:val="none" w:sz="0" w:space="0" w:color="auto"/>
      </w:divBdr>
    </w:div>
    <w:div w:id="1060402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image" Target="media/image7.png"/></Relationships>
</file>

<file path=word/charts/_rels/chart1.xml.rels><?xml version="1.0" encoding="UTF-8" standalone="yes"?>
<Relationships xmlns="http://schemas.openxmlformats.org/package/2006/relationships"><Relationship Id="rId1" Type="http://schemas.openxmlformats.org/officeDocument/2006/relationships/oleObject" Target="file:///\\cmtdc1\Groups\mining\GEOLOGY\Resources\Copper%20Clays\King%20Lyell%20Clays%20Model\bm\tonnagecurvefinalmod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King</a:t>
            </a:r>
            <a:r>
              <a:rPr lang="en-US" baseline="0"/>
              <a:t> Lyell Clays - Pass 3 grade-tonnage plot</a:t>
            </a:r>
            <a:endParaRPr lang="en-US"/>
          </a:p>
        </c:rich>
      </c:tx>
      <c:layout/>
      <c:overlay val="0"/>
    </c:title>
    <c:autoTitleDeleted val="0"/>
    <c:plotArea>
      <c:layout>
        <c:manualLayout>
          <c:layoutTarget val="inner"/>
          <c:xMode val="edge"/>
          <c:yMode val="edge"/>
          <c:x val="0.12192939557768954"/>
          <c:y val="0.12707456114172469"/>
          <c:w val="0.72614450248278151"/>
          <c:h val="0.74246632869528273"/>
        </c:manualLayout>
      </c:layout>
      <c:lineChart>
        <c:grouping val="standard"/>
        <c:varyColors val="0"/>
        <c:ser>
          <c:idx val="1"/>
          <c:order val="0"/>
          <c:tx>
            <c:strRef>
              <c:f>tonnagecurvefinalmodel!$I$15</c:f>
              <c:strCache>
                <c:ptCount val="1"/>
                <c:pt idx="0">
                  <c:v>Tonnage</c:v>
                </c:pt>
              </c:strCache>
            </c:strRef>
          </c:tx>
          <c:marker>
            <c:spPr>
              <a:solidFill>
                <a:schemeClr val="accent2"/>
              </a:solidFill>
            </c:spPr>
          </c:marker>
          <c:cat>
            <c:numRef>
              <c:f>tonnagecurvefinalmodel!$H$16:$H$36</c:f>
              <c:numCache>
                <c:formatCode>General</c:formatCode>
                <c:ptCount val="2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numCache>
            </c:numRef>
          </c:cat>
          <c:val>
            <c:numRef>
              <c:f>tonnagecurvefinalmodel!$I$16:$I$36</c:f>
              <c:numCache>
                <c:formatCode>General</c:formatCode>
                <c:ptCount val="21"/>
                <c:pt idx="0">
                  <c:v>402255</c:v>
                </c:pt>
                <c:pt idx="1">
                  <c:v>402255</c:v>
                </c:pt>
                <c:pt idx="2">
                  <c:v>397622</c:v>
                </c:pt>
                <c:pt idx="3">
                  <c:v>381147</c:v>
                </c:pt>
                <c:pt idx="4">
                  <c:v>367462</c:v>
                </c:pt>
                <c:pt idx="5">
                  <c:v>336642</c:v>
                </c:pt>
                <c:pt idx="6">
                  <c:v>284686</c:v>
                </c:pt>
                <c:pt idx="7">
                  <c:v>210643</c:v>
                </c:pt>
                <c:pt idx="8">
                  <c:v>177004</c:v>
                </c:pt>
                <c:pt idx="9">
                  <c:v>148887</c:v>
                </c:pt>
                <c:pt idx="10">
                  <c:v>118765</c:v>
                </c:pt>
                <c:pt idx="11">
                  <c:v>96444</c:v>
                </c:pt>
                <c:pt idx="12">
                  <c:v>85592</c:v>
                </c:pt>
                <c:pt idx="13">
                  <c:v>83225</c:v>
                </c:pt>
                <c:pt idx="14">
                  <c:v>80173</c:v>
                </c:pt>
                <c:pt idx="15">
                  <c:v>68627</c:v>
                </c:pt>
                <c:pt idx="16">
                  <c:v>63377</c:v>
                </c:pt>
                <c:pt idx="17">
                  <c:v>54983</c:v>
                </c:pt>
                <c:pt idx="18">
                  <c:v>30161</c:v>
                </c:pt>
                <c:pt idx="19">
                  <c:v>19931</c:v>
                </c:pt>
                <c:pt idx="20">
                  <c:v>10416</c:v>
                </c:pt>
              </c:numCache>
            </c:numRef>
          </c:val>
          <c:smooth val="0"/>
        </c:ser>
        <c:dLbls>
          <c:showLegendKey val="0"/>
          <c:showVal val="0"/>
          <c:showCatName val="0"/>
          <c:showSerName val="0"/>
          <c:showPercent val="0"/>
          <c:showBubbleSize val="0"/>
        </c:dLbls>
        <c:marker val="1"/>
        <c:smooth val="0"/>
        <c:axId val="121486720"/>
        <c:axId val="133150976"/>
      </c:lineChart>
      <c:lineChart>
        <c:grouping val="standard"/>
        <c:varyColors val="0"/>
        <c:ser>
          <c:idx val="2"/>
          <c:order val="1"/>
          <c:tx>
            <c:strRef>
              <c:f>tonnagecurvefinalmodel!$J$15</c:f>
              <c:strCache>
                <c:ptCount val="1"/>
                <c:pt idx="0">
                  <c:v>Grade</c:v>
                </c:pt>
              </c:strCache>
            </c:strRef>
          </c:tx>
          <c:cat>
            <c:numRef>
              <c:f>tonnagecurvefinalmodel!$H$16:$H$36</c:f>
              <c:numCache>
                <c:formatCode>General</c:formatCode>
                <c:ptCount val="2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numCache>
            </c:numRef>
          </c:cat>
          <c:val>
            <c:numRef>
              <c:f>tonnagecurvefinalmodel!$J$16:$J$36</c:f>
              <c:numCache>
                <c:formatCode>0.00%</c:formatCode>
                <c:ptCount val="21"/>
                <c:pt idx="0">
                  <c:v>9.0995318889758991E-3</c:v>
                </c:pt>
                <c:pt idx="1">
                  <c:v>9.0995318889758991E-3</c:v>
                </c:pt>
                <c:pt idx="2">
                  <c:v>9.1834191770073081E-3</c:v>
                </c:pt>
                <c:pt idx="3">
                  <c:v>9.4723085843519701E-3</c:v>
                </c:pt>
                <c:pt idx="4">
                  <c:v>9.6984531733893577E-3</c:v>
                </c:pt>
                <c:pt idx="5">
                  <c:v>1.0165222996536381E-2</c:v>
                </c:pt>
                <c:pt idx="6">
                  <c:v>1.1016639385147145E-2</c:v>
                </c:pt>
                <c:pt idx="7">
                  <c:v>1.2569129759830615E-2</c:v>
                </c:pt>
                <c:pt idx="8">
                  <c:v>1.3570509705995345E-2</c:v>
                </c:pt>
                <c:pt idx="9">
                  <c:v>1.4509180116464165E-2</c:v>
                </c:pt>
                <c:pt idx="10">
                  <c:v>1.5779642992464111E-2</c:v>
                </c:pt>
                <c:pt idx="11">
                  <c:v>1.7024707602339182E-2</c:v>
                </c:pt>
                <c:pt idx="12">
                  <c:v>1.7737850500046733E-2</c:v>
                </c:pt>
                <c:pt idx="13">
                  <c:v>1.7883975968759389E-2</c:v>
                </c:pt>
                <c:pt idx="14">
                  <c:v>1.805467052498971E-2</c:v>
                </c:pt>
                <c:pt idx="15">
                  <c:v>1.8635894035875095E-2</c:v>
                </c:pt>
                <c:pt idx="16">
                  <c:v>1.8912231566656675E-2</c:v>
                </c:pt>
                <c:pt idx="17">
                  <c:v>1.9249962715748508E-2</c:v>
                </c:pt>
                <c:pt idx="18">
                  <c:v>2.0607854514107623E-2</c:v>
                </c:pt>
                <c:pt idx="19">
                  <c:v>2.1689754653554764E-2</c:v>
                </c:pt>
                <c:pt idx="20">
                  <c:v>2.3690092165898621E-2</c:v>
                </c:pt>
              </c:numCache>
            </c:numRef>
          </c:val>
          <c:smooth val="0"/>
        </c:ser>
        <c:dLbls>
          <c:showLegendKey val="0"/>
          <c:showVal val="0"/>
          <c:showCatName val="0"/>
          <c:showSerName val="0"/>
          <c:showPercent val="0"/>
          <c:showBubbleSize val="0"/>
        </c:dLbls>
        <c:marker val="1"/>
        <c:smooth val="0"/>
        <c:axId val="133160320"/>
        <c:axId val="133158400"/>
      </c:lineChart>
      <c:catAx>
        <c:axId val="121486720"/>
        <c:scaling>
          <c:orientation val="minMax"/>
        </c:scaling>
        <c:delete val="0"/>
        <c:axPos val="b"/>
        <c:title>
          <c:tx>
            <c:rich>
              <a:bodyPr/>
              <a:lstStyle/>
              <a:p>
                <a:pPr>
                  <a:defRPr/>
                </a:pPr>
                <a:r>
                  <a:rPr lang="en-US"/>
                  <a:t>Cut-off grade (Cu%)</a:t>
                </a:r>
              </a:p>
            </c:rich>
          </c:tx>
          <c:layout/>
          <c:overlay val="0"/>
        </c:title>
        <c:numFmt formatCode="General" sourceLinked="1"/>
        <c:majorTickMark val="out"/>
        <c:minorTickMark val="none"/>
        <c:tickLblPos val="nextTo"/>
        <c:txPr>
          <a:bodyPr rot="-5400000" vert="horz"/>
          <a:lstStyle/>
          <a:p>
            <a:pPr>
              <a:defRPr sz="900"/>
            </a:pPr>
            <a:endParaRPr lang="en-US"/>
          </a:p>
        </c:txPr>
        <c:crossAx val="133150976"/>
        <c:crosses val="autoZero"/>
        <c:auto val="1"/>
        <c:lblAlgn val="ctr"/>
        <c:lblOffset val="100"/>
        <c:noMultiLvlLbl val="0"/>
      </c:catAx>
      <c:valAx>
        <c:axId val="133150976"/>
        <c:scaling>
          <c:orientation val="minMax"/>
        </c:scaling>
        <c:delete val="0"/>
        <c:axPos val="l"/>
        <c:majorGridlines/>
        <c:title>
          <c:tx>
            <c:rich>
              <a:bodyPr rot="-5400000" vert="horz"/>
              <a:lstStyle/>
              <a:p>
                <a:pPr>
                  <a:defRPr/>
                </a:pPr>
                <a:r>
                  <a:rPr lang="en-AU"/>
                  <a:t>Tonnes</a:t>
                </a:r>
              </a:p>
            </c:rich>
          </c:tx>
          <c:layout/>
          <c:overlay val="0"/>
        </c:title>
        <c:numFmt formatCode="General" sourceLinked="1"/>
        <c:majorTickMark val="out"/>
        <c:minorTickMark val="none"/>
        <c:tickLblPos val="nextTo"/>
        <c:crossAx val="121486720"/>
        <c:crosses val="autoZero"/>
        <c:crossBetween val="between"/>
      </c:valAx>
      <c:valAx>
        <c:axId val="133158400"/>
        <c:scaling>
          <c:orientation val="minMax"/>
          <c:max val="4.5000000000000012E-2"/>
        </c:scaling>
        <c:delete val="0"/>
        <c:axPos val="r"/>
        <c:title>
          <c:tx>
            <c:rich>
              <a:bodyPr rot="-5400000" vert="horz"/>
              <a:lstStyle/>
              <a:p>
                <a:pPr>
                  <a:defRPr/>
                </a:pPr>
                <a:r>
                  <a:rPr lang="en-US"/>
                  <a:t>Grade</a:t>
                </a:r>
              </a:p>
            </c:rich>
          </c:tx>
          <c:layout/>
          <c:overlay val="0"/>
        </c:title>
        <c:numFmt formatCode="0.00%" sourceLinked="1"/>
        <c:majorTickMark val="out"/>
        <c:minorTickMark val="none"/>
        <c:tickLblPos val="nextTo"/>
        <c:crossAx val="133160320"/>
        <c:crosses val="max"/>
        <c:crossBetween val="between"/>
      </c:valAx>
      <c:catAx>
        <c:axId val="133160320"/>
        <c:scaling>
          <c:orientation val="minMax"/>
        </c:scaling>
        <c:delete val="1"/>
        <c:axPos val="b"/>
        <c:numFmt formatCode="General" sourceLinked="1"/>
        <c:majorTickMark val="out"/>
        <c:minorTickMark val="none"/>
        <c:tickLblPos val="nextTo"/>
        <c:crossAx val="133158400"/>
        <c:crosses val="autoZero"/>
        <c:auto val="1"/>
        <c:lblAlgn val="ctr"/>
        <c:lblOffset val="100"/>
        <c:noMultiLvlLbl val="0"/>
      </c:catAx>
    </c:plotArea>
    <c:legend>
      <c:legendPos val="r"/>
      <c:layout>
        <c:manualLayout>
          <c:xMode val="edge"/>
          <c:yMode val="edge"/>
          <c:x val="0.60089223889748822"/>
          <c:y val="0.15090099676906715"/>
          <c:w val="0.1457052521103511"/>
          <c:h val="0.10922108288922967"/>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7D97CF-A7DB-4B61-8783-704D232AD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3455</TotalTime>
  <Pages>10</Pages>
  <Words>1611</Words>
  <Characters>9187</Characters>
  <Application>Microsoft Office Word</Application>
  <DocSecurity>0</DocSecurity>
  <Lines>76</Lines>
  <Paragraphs>21</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
      <vt:lpstr>King Lyell Copper Clays Resource Evaluation</vt:lpstr>
      <vt:lpstr>Introduction</vt:lpstr>
      <vt:lpstr>    Geology</vt:lpstr>
      <vt:lpstr>    Drilling data used in resource evaluation</vt:lpstr>
      <vt:lpstr>    Resource evaluation – solid geology model</vt:lpstr>
      <vt:lpstr>        King Lyell Fault</vt:lpstr>
      <vt:lpstr>        Pioneer Beds</vt:lpstr>
      <vt:lpstr>        Copper Clays resource wireframe</vt:lpstr>
      <vt:lpstr>    Resource evaluation – Resource estimation</vt:lpstr>
      <vt:lpstr>        Block model parameters</vt:lpstr>
      <vt:lpstr>        Estimation parameters</vt:lpstr>
      <vt:lpstr>        Bulk density</vt:lpstr>
      <vt:lpstr>    </vt:lpstr>
      <vt:lpstr>    Results</vt:lpstr>
      <vt:lpstr>    </vt:lpstr>
      <vt:lpstr>    Comparison with previous estimations</vt:lpstr>
    </vt:vector>
  </TitlesOfParts>
  <Company>Copper Mines Tasmania</Company>
  <LinksUpToDate>false</LinksUpToDate>
  <CharactersWithSpaces>10777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MCGEE, Brendan</dc:creator>
  <cp:lastModifiedBy>HOOPER, John</cp:lastModifiedBy>
  <cp:revision>16</cp:revision>
  <dcterms:created xsi:type="dcterms:W3CDTF">2013-09-16T04:09:00Z</dcterms:created>
  <dcterms:modified xsi:type="dcterms:W3CDTF">2016-10-06T05:34:00Z</dcterms:modified>
</cp:coreProperties>
</file>